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2078889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שלי יחימוביץ'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פ/235/21</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שעות עבודה ומנוחה (תיקון – הפסקה בין יום עבודה למשנהו שלא עולה על 8 שעות), התשע''ט–2019 </w:t>
      </w:r>
      <w:bookmarkEnd w:id="7"/>
    </w:p>
    <w:tbl>
      <w:tblPr>
        <w:bidiVisual/>
        <w:tblW w:w="9639" w:type="dxa"/>
        <w:tblInd w:w="2"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1872"/>
        <w:gridCol w:w="624"/>
        <w:gridCol w:w="4650"/>
      </w:tblGrid>
      <w:tr w:rsidR="00FE0D72" w14:paraId="459073CB" w14:textId="77777777" w:rsidTr="00401F72">
        <w:trPr>
          <w:cantSplit/>
          <w:trHeight w:val="60"/>
        </w:trPr>
        <w:tc>
          <w:tcPr>
            <w:tcW w:w="1869" w:type="dxa"/>
          </w:tcPr>
          <w:p w14:paraId="1FB2FE01" w14:textId="77777777" w:rsidR="00FE0D72" w:rsidRDefault="00FE0D72" w:rsidP="00401F72">
            <w:pPr>
              <w:pStyle w:val="TableSideHeading"/>
              <w:keepLines w:val="0"/>
            </w:pPr>
            <w:r>
              <w:rPr>
                <w:rFonts w:hint="cs"/>
                <w:rtl/>
              </w:rPr>
              <w:t>החלפת סעיף 21</w:t>
            </w:r>
          </w:p>
        </w:tc>
        <w:tc>
          <w:tcPr>
            <w:tcW w:w="624" w:type="dxa"/>
          </w:tcPr>
          <w:p w14:paraId="30C740A9" w14:textId="77777777" w:rsidR="00FE0D72" w:rsidRDefault="00FE0D72" w:rsidP="00401F72">
            <w:pPr>
              <w:pStyle w:val="TableText"/>
              <w:keepLines w:val="0"/>
            </w:pPr>
            <w:r>
              <w:rPr>
                <w:rFonts w:hint="cs"/>
                <w:rtl/>
              </w:rPr>
              <w:t>1.</w:t>
            </w:r>
          </w:p>
        </w:tc>
        <w:tc>
          <w:tcPr>
            <w:tcW w:w="7146" w:type="dxa"/>
            <w:gridSpan w:val="3"/>
          </w:tcPr>
          <w:p w14:paraId="67085421" w14:textId="77777777" w:rsidR="00FE0D72" w:rsidRPr="009C6B25" w:rsidRDefault="00FE0D72" w:rsidP="00401F72">
            <w:pPr>
              <w:pStyle w:val="TableHead"/>
              <w:keepLines w:val="0"/>
              <w:jc w:val="both"/>
              <w:rPr>
                <w:b w:val="0"/>
                <w:bCs w:val="0"/>
              </w:rPr>
            </w:pPr>
            <w:r>
              <w:rPr>
                <w:rFonts w:hint="cs"/>
                <w:b w:val="0"/>
                <w:bCs w:val="0"/>
                <w:rtl/>
              </w:rPr>
              <w:t>בחוק שעות עבודה ומנוחה, התשי''א</w:t>
            </w:r>
            <w:r>
              <w:rPr>
                <w:rFonts w:hint="eastAsia"/>
                <w:b w:val="0"/>
                <w:bCs w:val="0"/>
                <w:rtl/>
              </w:rPr>
              <w:t>–</w:t>
            </w:r>
            <w:r>
              <w:rPr>
                <w:rFonts w:hint="cs"/>
                <w:b w:val="0"/>
                <w:bCs w:val="0"/>
                <w:rtl/>
              </w:rPr>
              <w:t>1951</w:t>
            </w:r>
            <w:r>
              <w:rPr>
                <w:rStyle w:val="a5"/>
                <w:b w:val="0"/>
                <w:bCs w:val="0"/>
                <w:rtl/>
              </w:rPr>
              <w:footnoteReference w:id="2"/>
            </w:r>
            <w:r>
              <w:rPr>
                <w:rFonts w:hint="cs"/>
                <w:b w:val="0"/>
                <w:bCs w:val="0"/>
                <w:rtl/>
              </w:rPr>
              <w:t xml:space="preserve">, במקום סעיף 21 יבוא: </w:t>
            </w:r>
          </w:p>
        </w:tc>
      </w:tr>
      <w:tr w:rsidR="00FE0D72" w14:paraId="67D35E16" w14:textId="77777777" w:rsidTr="00401F72">
        <w:trPr>
          <w:cantSplit/>
          <w:trHeight w:val="60"/>
        </w:trPr>
        <w:tc>
          <w:tcPr>
            <w:tcW w:w="1869" w:type="dxa"/>
          </w:tcPr>
          <w:p w14:paraId="51B70B9C" w14:textId="77777777" w:rsidR="00FE0D72" w:rsidRDefault="00FE0D72" w:rsidP="00401F72">
            <w:pPr>
              <w:pStyle w:val="TableSideHeading"/>
              <w:keepLines w:val="0"/>
            </w:pPr>
          </w:p>
        </w:tc>
        <w:tc>
          <w:tcPr>
            <w:tcW w:w="624" w:type="dxa"/>
          </w:tcPr>
          <w:p w14:paraId="764549D8" w14:textId="77777777" w:rsidR="00FE0D72" w:rsidRDefault="00FE0D72" w:rsidP="00401F72">
            <w:pPr>
              <w:pStyle w:val="TableText"/>
              <w:keepLines w:val="0"/>
            </w:pPr>
          </w:p>
        </w:tc>
        <w:tc>
          <w:tcPr>
            <w:tcW w:w="1872" w:type="dxa"/>
          </w:tcPr>
          <w:p w14:paraId="5B2ECC11" w14:textId="77777777" w:rsidR="00FE0D72" w:rsidRDefault="00FE0D72" w:rsidP="00401F72">
            <w:pPr>
              <w:pStyle w:val="TableInnerSideHeading"/>
            </w:pPr>
            <w:r>
              <w:rPr>
                <w:rFonts w:hint="cs"/>
                <w:rtl/>
              </w:rPr>
              <w:t>"הפסקה בין יום עבודה למשנהו ובין משמרות</w:t>
            </w:r>
          </w:p>
        </w:tc>
        <w:tc>
          <w:tcPr>
            <w:tcW w:w="624" w:type="dxa"/>
          </w:tcPr>
          <w:p w14:paraId="2D5797E5" w14:textId="77777777" w:rsidR="00FE0D72" w:rsidRPr="00A3572F" w:rsidRDefault="00FE0D72" w:rsidP="00401F72">
            <w:pPr>
              <w:pStyle w:val="TableText"/>
            </w:pPr>
            <w:r>
              <w:rPr>
                <w:rFonts w:hint="cs"/>
                <w:rtl/>
              </w:rPr>
              <w:t>21.</w:t>
            </w:r>
          </w:p>
        </w:tc>
        <w:tc>
          <w:tcPr>
            <w:tcW w:w="4650" w:type="dxa"/>
          </w:tcPr>
          <w:p w14:paraId="146AFF5D" w14:textId="77777777" w:rsidR="00FE0D72" w:rsidRDefault="00FE0D72" w:rsidP="00401F72">
            <w:pPr>
              <w:pStyle w:val="TableBlock"/>
            </w:pPr>
            <w:r>
              <w:rPr>
                <w:rFonts w:hint="cs"/>
                <w:rtl/>
              </w:rPr>
              <w:t>(א)</w:t>
            </w:r>
            <w:r w:rsidRPr="00EC77EC">
              <w:rPr>
                <w:rtl/>
              </w:rPr>
              <w:tab/>
              <w:t>בי</w:t>
            </w:r>
            <w:r w:rsidRPr="00EC77EC">
              <w:rPr>
                <w:rFonts w:hint="cs"/>
                <w:rtl/>
              </w:rPr>
              <w:t xml:space="preserve">ן יום עבודה למשנהו, ובמקום עבודה שעובדים בו במשמרות </w:t>
            </w:r>
            <w:r w:rsidRPr="00EC77EC">
              <w:rPr>
                <w:rFonts w:hint="eastAsia"/>
                <w:rtl/>
              </w:rPr>
              <w:t>–</w:t>
            </w:r>
            <w:r w:rsidRPr="00EC77EC">
              <w:rPr>
                <w:rFonts w:hint="cs"/>
                <w:rtl/>
              </w:rPr>
              <w:t xml:space="preserve"> בין משמרת למשמרת, תח</w:t>
            </w:r>
            <w:r w:rsidRPr="00EC77EC">
              <w:rPr>
                <w:rtl/>
              </w:rPr>
              <w:t>ול</w:t>
            </w:r>
            <w:r w:rsidRPr="00EC77EC">
              <w:rPr>
                <w:rFonts w:hint="cs"/>
                <w:rtl/>
              </w:rPr>
              <w:t xml:space="preserve"> הפסקה של שמונה שעות לפחות.</w:t>
            </w:r>
            <w:r>
              <w:rPr>
                <w:rtl/>
              </w:rPr>
              <w:tab/>
            </w:r>
          </w:p>
        </w:tc>
      </w:tr>
      <w:tr w:rsidR="00FE0D72" w14:paraId="412105E8" w14:textId="77777777" w:rsidTr="00401F72">
        <w:trPr>
          <w:cantSplit/>
          <w:trHeight w:val="60"/>
        </w:trPr>
        <w:tc>
          <w:tcPr>
            <w:tcW w:w="1869" w:type="dxa"/>
          </w:tcPr>
          <w:p w14:paraId="32CD60E3" w14:textId="77777777" w:rsidR="00FE0D72" w:rsidRDefault="00FE0D72" w:rsidP="00401F72">
            <w:pPr>
              <w:pStyle w:val="TableSideHeading"/>
              <w:keepLines w:val="0"/>
            </w:pPr>
          </w:p>
        </w:tc>
        <w:tc>
          <w:tcPr>
            <w:tcW w:w="624" w:type="dxa"/>
          </w:tcPr>
          <w:p w14:paraId="0C0AB7B7" w14:textId="77777777" w:rsidR="00FE0D72" w:rsidRDefault="00FE0D72" w:rsidP="00401F72">
            <w:pPr>
              <w:pStyle w:val="TableText"/>
              <w:keepLines w:val="0"/>
            </w:pPr>
          </w:p>
        </w:tc>
        <w:tc>
          <w:tcPr>
            <w:tcW w:w="1872" w:type="dxa"/>
          </w:tcPr>
          <w:p w14:paraId="12369364" w14:textId="77777777" w:rsidR="00FE0D72" w:rsidRDefault="00FE0D72" w:rsidP="00401F72">
            <w:pPr>
              <w:pStyle w:val="TableInnerSideHeading"/>
              <w:rPr>
                <w:rtl/>
              </w:rPr>
            </w:pPr>
          </w:p>
        </w:tc>
        <w:tc>
          <w:tcPr>
            <w:tcW w:w="624" w:type="dxa"/>
          </w:tcPr>
          <w:p w14:paraId="52C127BD" w14:textId="77777777" w:rsidR="00FE0D72" w:rsidRDefault="00FE0D72" w:rsidP="00401F72">
            <w:pPr>
              <w:pStyle w:val="TableText"/>
              <w:rPr>
                <w:rtl/>
              </w:rPr>
            </w:pPr>
          </w:p>
        </w:tc>
        <w:tc>
          <w:tcPr>
            <w:tcW w:w="4650" w:type="dxa"/>
          </w:tcPr>
          <w:p w14:paraId="571E5147" w14:textId="77777777" w:rsidR="00FE0D72" w:rsidRDefault="00FE0D72" w:rsidP="00401F72">
            <w:pPr>
              <w:pStyle w:val="TableBlock"/>
              <w:rPr>
                <w:rtl/>
              </w:rPr>
            </w:pPr>
            <w:r>
              <w:rPr>
                <w:rFonts w:hint="cs"/>
                <w:rtl/>
              </w:rPr>
              <w:t>(ב)</w:t>
            </w:r>
            <w:r>
              <w:rPr>
                <w:rtl/>
              </w:rPr>
              <w:tab/>
            </w:r>
            <w:r>
              <w:rPr>
                <w:rFonts w:hint="cs"/>
                <w:rtl/>
              </w:rPr>
              <w:t xml:space="preserve"> לא חלה הפסקה בהתאם להוראות סעיף קטן (א), יראו את יום העבודה כיום רצוף."</w:t>
            </w:r>
          </w:p>
        </w:tc>
      </w:tr>
    </w:tbl>
    <w:p w14:paraId="2AEC6B73" w14:textId="77777777" w:rsidR="00FE0D72" w:rsidRPr="00A3572F" w:rsidRDefault="00FE0D72" w:rsidP="00FE0D72">
      <w:pPr>
        <w:pStyle w:val="HeadDivreiHesber"/>
        <w:rPr>
          <w:rtl/>
        </w:rPr>
      </w:pPr>
      <w:r w:rsidRPr="00A3572F">
        <w:rPr>
          <w:rFonts w:hint="cs"/>
          <w:rtl/>
        </w:rPr>
        <w:t>דברי הסבר</w:t>
      </w:r>
    </w:p>
    <w:p w14:paraId="4AE2F045" w14:textId="77777777" w:rsidR="00FE0D72" w:rsidRPr="005B0787" w:rsidRDefault="00FE0D72" w:rsidP="00FE0D72">
      <w:pPr>
        <w:pStyle w:val="Hesber"/>
        <w:rPr>
          <w:rtl/>
        </w:rPr>
      </w:pPr>
      <w:r>
        <w:rPr>
          <w:rFonts w:hint="cs"/>
          <w:rtl/>
        </w:rPr>
        <w:t>מטרתה של הצעת חוק</w:t>
      </w:r>
      <w:r w:rsidRPr="005B0787">
        <w:rPr>
          <w:rtl/>
        </w:rPr>
        <w:t xml:space="preserve"> ז</w:t>
      </w:r>
      <w:r w:rsidRPr="005B0787">
        <w:rPr>
          <w:rFonts w:hint="cs"/>
          <w:rtl/>
        </w:rPr>
        <w:t>ו</w:t>
      </w:r>
      <w:r w:rsidRPr="005B0787">
        <w:rPr>
          <w:rtl/>
        </w:rPr>
        <w:t xml:space="preserve"> </w:t>
      </w:r>
      <w:r w:rsidRPr="005B0787">
        <w:rPr>
          <w:rFonts w:hint="cs"/>
          <w:rtl/>
        </w:rPr>
        <w:t>להגן</w:t>
      </w:r>
      <w:r w:rsidRPr="005B0787">
        <w:rPr>
          <w:rtl/>
        </w:rPr>
        <w:t xml:space="preserve"> </w:t>
      </w:r>
      <w:r w:rsidRPr="005B0787">
        <w:rPr>
          <w:rFonts w:hint="cs"/>
          <w:rtl/>
        </w:rPr>
        <w:t>על</w:t>
      </w:r>
      <w:r w:rsidRPr="005B0787">
        <w:rPr>
          <w:rtl/>
        </w:rPr>
        <w:t xml:space="preserve"> </w:t>
      </w:r>
      <w:r w:rsidRPr="005B0787">
        <w:rPr>
          <w:rFonts w:hint="cs"/>
          <w:rtl/>
        </w:rPr>
        <w:t>העובדים</w:t>
      </w:r>
      <w:r w:rsidRPr="005B0787">
        <w:rPr>
          <w:rtl/>
        </w:rPr>
        <w:t xml:space="preserve"> </w:t>
      </w:r>
      <w:r w:rsidRPr="005B0787">
        <w:rPr>
          <w:rFonts w:hint="cs"/>
          <w:rtl/>
        </w:rPr>
        <w:t>החלשים</w:t>
      </w:r>
      <w:r w:rsidRPr="005B0787">
        <w:rPr>
          <w:rtl/>
        </w:rPr>
        <w:t xml:space="preserve">, </w:t>
      </w:r>
      <w:r w:rsidRPr="005B0787">
        <w:rPr>
          <w:rFonts w:hint="cs"/>
          <w:rtl/>
        </w:rPr>
        <w:t>המועסקים</w:t>
      </w:r>
      <w:r w:rsidRPr="005B0787">
        <w:rPr>
          <w:rtl/>
        </w:rPr>
        <w:t xml:space="preserve"> </w:t>
      </w:r>
      <w:r w:rsidRPr="005B0787">
        <w:rPr>
          <w:rFonts w:hint="cs"/>
          <w:rtl/>
        </w:rPr>
        <w:t>במשמרות</w:t>
      </w:r>
      <w:r w:rsidRPr="005B0787">
        <w:rPr>
          <w:rtl/>
        </w:rPr>
        <w:t xml:space="preserve"> </w:t>
      </w:r>
      <w:r w:rsidRPr="005B0787">
        <w:rPr>
          <w:rFonts w:hint="cs"/>
          <w:rtl/>
        </w:rPr>
        <w:t>בשעות</w:t>
      </w:r>
      <w:r w:rsidRPr="005B0787">
        <w:rPr>
          <w:rtl/>
        </w:rPr>
        <w:t xml:space="preserve"> </w:t>
      </w:r>
      <w:r w:rsidRPr="005B0787">
        <w:rPr>
          <w:rFonts w:hint="cs"/>
          <w:rtl/>
        </w:rPr>
        <w:t>חריגות</w:t>
      </w:r>
      <w:r w:rsidRPr="005B0787">
        <w:rPr>
          <w:rtl/>
        </w:rPr>
        <w:t xml:space="preserve"> </w:t>
      </w:r>
      <w:r w:rsidRPr="005B0787">
        <w:rPr>
          <w:rFonts w:hint="cs"/>
          <w:rtl/>
        </w:rPr>
        <w:t>וארוכות</w:t>
      </w:r>
      <w:r w:rsidRPr="005B0787">
        <w:rPr>
          <w:rtl/>
        </w:rPr>
        <w:t xml:space="preserve">, </w:t>
      </w:r>
      <w:r w:rsidRPr="005B0787">
        <w:rPr>
          <w:rFonts w:hint="cs"/>
          <w:rtl/>
        </w:rPr>
        <w:t>ונמנעת</w:t>
      </w:r>
      <w:r w:rsidRPr="005B0787">
        <w:rPr>
          <w:rtl/>
        </w:rPr>
        <w:t xml:space="preserve"> </w:t>
      </w:r>
      <w:r w:rsidRPr="005B0787">
        <w:rPr>
          <w:rFonts w:hint="cs"/>
          <w:rtl/>
        </w:rPr>
        <w:t>מהם</w:t>
      </w:r>
      <w:r w:rsidRPr="005B0787">
        <w:rPr>
          <w:rtl/>
        </w:rPr>
        <w:t xml:space="preserve"> </w:t>
      </w:r>
      <w:r w:rsidRPr="005B0787">
        <w:rPr>
          <w:rFonts w:hint="cs"/>
          <w:rtl/>
        </w:rPr>
        <w:t>הפסקה</w:t>
      </w:r>
      <w:r w:rsidRPr="005B0787">
        <w:rPr>
          <w:rtl/>
        </w:rPr>
        <w:t xml:space="preserve"> </w:t>
      </w:r>
      <w:r w:rsidRPr="005B0787">
        <w:rPr>
          <w:rFonts w:hint="cs"/>
          <w:rtl/>
        </w:rPr>
        <w:t>מינימלית</w:t>
      </w:r>
      <w:r>
        <w:rPr>
          <w:rFonts w:hint="cs"/>
          <w:rtl/>
        </w:rPr>
        <w:t xml:space="preserve"> בין יום עבודה אחד למשנהו</w:t>
      </w:r>
      <w:r w:rsidRPr="005B0787">
        <w:rPr>
          <w:rtl/>
        </w:rPr>
        <w:t xml:space="preserve"> </w:t>
      </w:r>
      <w:r w:rsidRPr="005B0787">
        <w:rPr>
          <w:rFonts w:hint="cs"/>
          <w:rtl/>
        </w:rPr>
        <w:t>המגיעה</w:t>
      </w:r>
      <w:r w:rsidRPr="005B0787">
        <w:rPr>
          <w:rtl/>
        </w:rPr>
        <w:t xml:space="preserve"> </w:t>
      </w:r>
      <w:r>
        <w:rPr>
          <w:rFonts w:hint="cs"/>
          <w:rtl/>
        </w:rPr>
        <w:t>לעובד לפי דין</w:t>
      </w:r>
      <w:r w:rsidRPr="005B0787">
        <w:rPr>
          <w:rtl/>
        </w:rPr>
        <w:t>.</w:t>
      </w:r>
    </w:p>
    <w:p w14:paraId="7F286A91" w14:textId="1FE7E36B" w:rsidR="00FE0D72" w:rsidRPr="005B0787" w:rsidRDefault="00FE0D72" w:rsidP="00FE0D72">
      <w:pPr>
        <w:pStyle w:val="Hesber"/>
        <w:rPr>
          <w:rtl/>
        </w:rPr>
      </w:pPr>
      <w:r w:rsidRPr="005B0787">
        <w:rPr>
          <w:rFonts w:hint="cs"/>
          <w:rtl/>
        </w:rPr>
        <w:t>בסעיף</w:t>
      </w:r>
      <w:r w:rsidRPr="005B0787">
        <w:rPr>
          <w:rtl/>
        </w:rPr>
        <w:t xml:space="preserve"> 21 </w:t>
      </w:r>
      <w:r w:rsidRPr="005B0787">
        <w:rPr>
          <w:rFonts w:hint="cs"/>
          <w:rtl/>
        </w:rPr>
        <w:t>ל</w:t>
      </w:r>
      <w:r w:rsidRPr="005B0787">
        <w:rPr>
          <w:rtl/>
        </w:rPr>
        <w:t xml:space="preserve">חוק </w:t>
      </w:r>
      <w:r w:rsidRPr="005B0787">
        <w:rPr>
          <w:rFonts w:hint="cs"/>
          <w:rtl/>
        </w:rPr>
        <w:t>שעות</w:t>
      </w:r>
      <w:r w:rsidRPr="005B0787">
        <w:rPr>
          <w:rtl/>
        </w:rPr>
        <w:t xml:space="preserve"> </w:t>
      </w:r>
      <w:r w:rsidRPr="005B0787">
        <w:rPr>
          <w:rFonts w:hint="cs"/>
          <w:rtl/>
        </w:rPr>
        <w:t>עבודה</w:t>
      </w:r>
      <w:r w:rsidRPr="005B0787">
        <w:rPr>
          <w:rtl/>
        </w:rPr>
        <w:t xml:space="preserve"> </w:t>
      </w:r>
      <w:r w:rsidRPr="005B0787">
        <w:rPr>
          <w:rFonts w:hint="cs"/>
          <w:rtl/>
        </w:rPr>
        <w:t>ומנוחה</w:t>
      </w:r>
      <w:r w:rsidRPr="005B0787">
        <w:rPr>
          <w:rtl/>
        </w:rPr>
        <w:t xml:space="preserve">, </w:t>
      </w:r>
      <w:r w:rsidRPr="005B0787">
        <w:rPr>
          <w:rFonts w:hint="cs"/>
          <w:rtl/>
        </w:rPr>
        <w:t>התשי</w:t>
      </w:r>
      <w:r w:rsidRPr="005B0787">
        <w:rPr>
          <w:rtl/>
        </w:rPr>
        <w:t>''א</w:t>
      </w:r>
      <w:r w:rsidRPr="005B0787">
        <w:rPr>
          <w:rFonts w:hint="eastAsia"/>
          <w:rtl/>
        </w:rPr>
        <w:t>–</w:t>
      </w:r>
      <w:r w:rsidRPr="005B0787">
        <w:rPr>
          <w:rtl/>
        </w:rPr>
        <w:t>1951</w:t>
      </w:r>
      <w:r>
        <w:rPr>
          <w:rFonts w:hint="cs"/>
          <w:rtl/>
        </w:rPr>
        <w:t xml:space="preserve"> (להלן </w:t>
      </w:r>
      <w:r>
        <w:rPr>
          <w:rFonts w:hint="eastAsia"/>
          <w:rtl/>
        </w:rPr>
        <w:t>–</w:t>
      </w:r>
      <w:r>
        <w:rPr>
          <w:rFonts w:hint="cs"/>
          <w:rtl/>
        </w:rPr>
        <w:t xml:space="preserve"> החוק)</w:t>
      </w:r>
      <w:r w:rsidRPr="005B0787">
        <w:rPr>
          <w:rtl/>
        </w:rPr>
        <w:t xml:space="preserve">, </w:t>
      </w:r>
      <w:r w:rsidRPr="005B0787">
        <w:rPr>
          <w:rFonts w:hint="cs"/>
          <w:rtl/>
        </w:rPr>
        <w:t>נקבע</w:t>
      </w:r>
      <w:r w:rsidRPr="005B0787">
        <w:rPr>
          <w:rtl/>
        </w:rPr>
        <w:t xml:space="preserve"> </w:t>
      </w:r>
      <w:r w:rsidRPr="005B0787">
        <w:rPr>
          <w:rFonts w:hint="cs"/>
          <w:rtl/>
        </w:rPr>
        <w:t>כי</w:t>
      </w:r>
      <w:r w:rsidRPr="005B0787">
        <w:rPr>
          <w:rtl/>
        </w:rPr>
        <w:t xml:space="preserve"> </w:t>
      </w:r>
      <w:r w:rsidRPr="005B0787">
        <w:rPr>
          <w:rFonts w:hint="cs"/>
          <w:rtl/>
        </w:rPr>
        <w:t>בין</w:t>
      </w:r>
      <w:r w:rsidRPr="005B0787">
        <w:rPr>
          <w:rtl/>
        </w:rPr>
        <w:t xml:space="preserve"> </w:t>
      </w:r>
      <w:r w:rsidRPr="005B0787">
        <w:rPr>
          <w:rFonts w:hint="cs"/>
          <w:rtl/>
        </w:rPr>
        <w:t>יום</w:t>
      </w:r>
      <w:r w:rsidRPr="005B0787">
        <w:rPr>
          <w:rtl/>
        </w:rPr>
        <w:t xml:space="preserve"> </w:t>
      </w:r>
      <w:r w:rsidRPr="005B0787">
        <w:rPr>
          <w:rFonts w:hint="cs"/>
          <w:rtl/>
        </w:rPr>
        <w:t>עבודה</w:t>
      </w:r>
      <w:r w:rsidRPr="005B0787">
        <w:rPr>
          <w:rtl/>
        </w:rPr>
        <w:t xml:space="preserve"> </w:t>
      </w:r>
      <w:r w:rsidRPr="005B0787">
        <w:rPr>
          <w:rFonts w:hint="cs"/>
          <w:rtl/>
        </w:rPr>
        <w:t>למשנהו</w:t>
      </w:r>
      <w:r w:rsidRPr="005B0787">
        <w:rPr>
          <w:rtl/>
        </w:rPr>
        <w:t xml:space="preserve"> </w:t>
      </w:r>
      <w:r w:rsidRPr="005B0787">
        <w:rPr>
          <w:rFonts w:hint="cs"/>
          <w:rtl/>
        </w:rPr>
        <w:t>המעסיק</w:t>
      </w:r>
      <w:r w:rsidRPr="005B0787">
        <w:rPr>
          <w:rtl/>
        </w:rPr>
        <w:t xml:space="preserve"> </w:t>
      </w:r>
      <w:r w:rsidRPr="005B0787">
        <w:rPr>
          <w:rFonts w:hint="cs"/>
          <w:rtl/>
        </w:rPr>
        <w:t>חייב</w:t>
      </w:r>
      <w:r w:rsidRPr="005B0787">
        <w:rPr>
          <w:rtl/>
        </w:rPr>
        <w:t xml:space="preserve"> </w:t>
      </w:r>
      <w:r w:rsidRPr="005B0787">
        <w:rPr>
          <w:rFonts w:hint="cs"/>
          <w:rtl/>
        </w:rPr>
        <w:t>לתת</w:t>
      </w:r>
      <w:r w:rsidRPr="005B0787">
        <w:rPr>
          <w:rtl/>
        </w:rPr>
        <w:t xml:space="preserve"> </w:t>
      </w:r>
      <w:r w:rsidRPr="005B0787">
        <w:rPr>
          <w:rFonts w:hint="cs"/>
          <w:rtl/>
        </w:rPr>
        <w:t>לעובד</w:t>
      </w:r>
      <w:r w:rsidRPr="005B0787">
        <w:rPr>
          <w:rtl/>
        </w:rPr>
        <w:t xml:space="preserve"> </w:t>
      </w:r>
      <w:r w:rsidRPr="005B0787">
        <w:rPr>
          <w:rFonts w:hint="cs"/>
          <w:rtl/>
        </w:rPr>
        <w:t>הפסקה</w:t>
      </w:r>
      <w:r w:rsidRPr="005B0787">
        <w:rPr>
          <w:rtl/>
        </w:rPr>
        <w:t xml:space="preserve"> בת </w:t>
      </w:r>
      <w:r w:rsidRPr="005B0787">
        <w:rPr>
          <w:rFonts w:hint="cs"/>
          <w:rtl/>
        </w:rPr>
        <w:t>שמונה</w:t>
      </w:r>
      <w:r w:rsidRPr="005B0787">
        <w:rPr>
          <w:rtl/>
        </w:rPr>
        <w:t xml:space="preserve"> </w:t>
      </w:r>
      <w:r w:rsidRPr="005B0787">
        <w:rPr>
          <w:rFonts w:hint="cs"/>
          <w:rtl/>
        </w:rPr>
        <w:t>שעות</w:t>
      </w:r>
      <w:r w:rsidRPr="005B0787">
        <w:rPr>
          <w:rtl/>
        </w:rPr>
        <w:t xml:space="preserve">. </w:t>
      </w:r>
      <w:r>
        <w:rPr>
          <w:rFonts w:hint="cs"/>
          <w:rtl/>
        </w:rPr>
        <w:t>החוק אינו מתייחס למצבים בה</w:t>
      </w:r>
      <w:r w:rsidR="002D361C">
        <w:rPr>
          <w:rFonts w:hint="cs"/>
          <w:rtl/>
        </w:rPr>
        <w:t>ם לא הייתה  הפסקה של שמונה שעות</w:t>
      </w:r>
      <w:r>
        <w:rPr>
          <w:rFonts w:hint="cs"/>
          <w:rtl/>
        </w:rPr>
        <w:t xml:space="preserve"> בין יום עבודה אחד לשני, לרבות הפסקות של פחות משמונה שעות בין משמרת למשמרת. </w:t>
      </w:r>
    </w:p>
    <w:p w14:paraId="4C8D4545" w14:textId="77777777" w:rsidR="00FE0D72" w:rsidRDefault="00FE0D72" w:rsidP="00FE0D72">
      <w:pPr>
        <w:pStyle w:val="Hesber"/>
        <w:rPr>
          <w:rtl/>
        </w:rPr>
      </w:pPr>
      <w:r>
        <w:rPr>
          <w:rFonts w:hint="cs"/>
          <w:rtl/>
        </w:rPr>
        <w:t xml:space="preserve"> ב</w:t>
      </w:r>
      <w:r w:rsidRPr="005B0787">
        <w:rPr>
          <w:rFonts w:hint="cs"/>
          <w:rtl/>
        </w:rPr>
        <w:t>ע</w:t>
      </w:r>
      <w:r w:rsidRPr="005B0787">
        <w:rPr>
          <w:rtl/>
        </w:rPr>
        <w:t xml:space="preserve">''ע (ארצי) 233/06 </w:t>
      </w:r>
      <w:r w:rsidRPr="009C6B25">
        <w:rPr>
          <w:rFonts w:hint="cs"/>
          <w:b/>
          <w:bCs/>
          <w:rtl/>
        </w:rPr>
        <w:t>א</w:t>
      </w:r>
      <w:r w:rsidRPr="009C6B25">
        <w:rPr>
          <w:b/>
          <w:bCs/>
          <w:rtl/>
        </w:rPr>
        <w:t xml:space="preserve">.נ. נתניה </w:t>
      </w:r>
      <w:r w:rsidRPr="009C6B25">
        <w:rPr>
          <w:rFonts w:hint="cs"/>
          <w:b/>
          <w:bCs/>
          <w:rtl/>
        </w:rPr>
        <w:t>בע</w:t>
      </w:r>
      <w:r w:rsidRPr="009C6B25">
        <w:rPr>
          <w:b/>
          <w:bCs/>
          <w:rtl/>
        </w:rPr>
        <w:t xml:space="preserve">''מ נ' לב </w:t>
      </w:r>
      <w:r w:rsidRPr="009C6B25">
        <w:rPr>
          <w:rFonts w:hint="cs"/>
          <w:b/>
          <w:bCs/>
          <w:rtl/>
        </w:rPr>
        <w:t>טרנרידר</w:t>
      </w:r>
      <w:r w:rsidRPr="009C6B25">
        <w:rPr>
          <w:b/>
          <w:bCs/>
          <w:rtl/>
        </w:rPr>
        <w:t xml:space="preserve"> </w:t>
      </w:r>
      <w:r w:rsidRPr="005B0787">
        <w:rPr>
          <w:rtl/>
        </w:rPr>
        <w:t>(</w:t>
      </w:r>
      <w:r>
        <w:rPr>
          <w:rFonts w:hint="cs"/>
          <w:rtl/>
        </w:rPr>
        <w:t>ניתן ב-16 בדצמבר 2007</w:t>
      </w:r>
      <w:r w:rsidRPr="005B0787">
        <w:rPr>
          <w:rtl/>
        </w:rPr>
        <w:t xml:space="preserve">), </w:t>
      </w:r>
      <w:r>
        <w:rPr>
          <w:rFonts w:hint="cs"/>
          <w:rtl/>
        </w:rPr>
        <w:t xml:space="preserve">נדחתה טענתו של עובד שביקש לראות בשעות שעבד מעבר לשעות הרגילות, ובלא שניתנה לו הפסקה של 8 שעות עבודה בין משמרת אחת למשמרת אחרת, כשעות נוספות. </w:t>
      </w:r>
    </w:p>
    <w:p w14:paraId="62A74700" w14:textId="1E0C519F" w:rsidR="00FE0D72" w:rsidRPr="005B0787" w:rsidRDefault="00FE0D72" w:rsidP="00FE0D72">
      <w:pPr>
        <w:pStyle w:val="Hesber"/>
        <w:rPr>
          <w:rtl/>
        </w:rPr>
      </w:pPr>
      <w:r>
        <w:rPr>
          <w:rFonts w:hint="cs"/>
          <w:rtl/>
        </w:rPr>
        <w:t xml:space="preserve">גם בע''ע 68015-03-17 </w:t>
      </w:r>
      <w:r w:rsidRPr="009C6B25">
        <w:rPr>
          <w:b/>
          <w:bCs/>
          <w:rtl/>
        </w:rPr>
        <w:t xml:space="preserve">חברת קבוצת השומרים שמירה ובטחון </w:t>
      </w:r>
      <w:r w:rsidRPr="009C6B25">
        <w:rPr>
          <w:rFonts w:hint="cs"/>
          <w:b/>
          <w:bCs/>
          <w:rtl/>
        </w:rPr>
        <w:t>בע</w:t>
      </w:r>
      <w:r w:rsidRPr="009C6B25">
        <w:rPr>
          <w:b/>
          <w:bCs/>
          <w:rtl/>
        </w:rPr>
        <w:t>''מ</w:t>
      </w:r>
      <w:r>
        <w:rPr>
          <w:rFonts w:hint="cs"/>
          <w:rtl/>
        </w:rPr>
        <w:t xml:space="preserve"> </w:t>
      </w:r>
      <w:r>
        <w:rPr>
          <w:rFonts w:hint="cs"/>
          <w:b/>
          <w:bCs/>
          <w:rtl/>
        </w:rPr>
        <w:t xml:space="preserve">נ' </w:t>
      </w:r>
      <w:r w:rsidRPr="009C6B25">
        <w:rPr>
          <w:rFonts w:hint="cs"/>
          <w:b/>
          <w:bCs/>
          <w:rtl/>
        </w:rPr>
        <w:t>דימיטרי</w:t>
      </w:r>
      <w:r w:rsidRPr="009C6B25">
        <w:rPr>
          <w:b/>
          <w:bCs/>
          <w:rtl/>
        </w:rPr>
        <w:t xml:space="preserve"> </w:t>
      </w:r>
      <w:r w:rsidRPr="009C6B25">
        <w:rPr>
          <w:rFonts w:hint="cs"/>
          <w:b/>
          <w:bCs/>
          <w:rtl/>
        </w:rPr>
        <w:t>קלינין</w:t>
      </w:r>
      <w:r w:rsidRPr="009C6B25">
        <w:rPr>
          <w:b/>
          <w:bCs/>
          <w:rtl/>
        </w:rPr>
        <w:t xml:space="preserve"> </w:t>
      </w:r>
      <w:r w:rsidRPr="00A3572F">
        <w:rPr>
          <w:rFonts w:hint="cs"/>
          <w:rtl/>
        </w:rPr>
        <w:t>(ניתן ב</w:t>
      </w:r>
      <w:r>
        <w:rPr>
          <w:rFonts w:hint="cs"/>
          <w:rtl/>
        </w:rPr>
        <w:t>-17 באפריל 2018</w:t>
      </w:r>
      <w:r w:rsidRPr="00A3572F">
        <w:rPr>
          <w:rFonts w:hint="cs"/>
          <w:rtl/>
        </w:rPr>
        <w:t>)</w:t>
      </w:r>
      <w:r>
        <w:rPr>
          <w:rFonts w:hint="cs"/>
          <w:rtl/>
        </w:rPr>
        <w:t xml:space="preserve">, נדחתה טענת עובד בחברת שמירה לזכאות לגמול שעות נוספות בעד עבודה במשמרת שנייה, בלא שניתנה לו הפסקה של שמונה שעות מהמשמרת הקודמת, כפי שמורה החוק. בית הדין התייחס לכך, שהוראות אלה ניתן לאכוף אותן במישור הפלילי או המנהלי, והשאיר בצריך עיון את האפשרות לחייב גם בסעד אחר בגין הפרת סעיף 21, אך </w:t>
      </w:r>
      <w:r w:rsidR="002D361C">
        <w:rPr>
          <w:rFonts w:hint="cs"/>
          <w:rtl/>
        </w:rPr>
        <w:t>פסק ש</w:t>
      </w:r>
      <w:r>
        <w:rPr>
          <w:rFonts w:hint="cs"/>
          <w:rtl/>
        </w:rPr>
        <w:t xml:space="preserve">עובד שלא קיבל הפסקה כפי שמורה סעיף 21 אינו זכאי לגמול שעות נוספות.   </w:t>
      </w:r>
    </w:p>
    <w:p w14:paraId="465BAA29" w14:textId="59A3FAC1" w:rsidR="00FE0D72" w:rsidRDefault="00FE0D72" w:rsidP="00FE0D72">
      <w:pPr>
        <w:pStyle w:val="Hesber"/>
        <w:rPr>
          <w:rtl/>
        </w:rPr>
      </w:pPr>
      <w:r>
        <w:rPr>
          <w:rFonts w:hint="cs"/>
          <w:rtl/>
        </w:rPr>
        <w:lastRenderedPageBreak/>
        <w:t>כדי למנוע את הפגיעה בזכויות העובדים שנמנעת מהם מנוחה ראויה בין משמרת אחת לשני</w:t>
      </w:r>
      <w:r w:rsidR="002D361C">
        <w:rPr>
          <w:rFonts w:hint="cs"/>
          <w:rtl/>
        </w:rPr>
        <w:t>י</w:t>
      </w:r>
      <w:r>
        <w:rPr>
          <w:rFonts w:hint="cs"/>
          <w:rtl/>
        </w:rPr>
        <w:t xml:space="preserve">ה, מוצע לקבוע כי גם בין שתי משמרות במקום עבודה הפועל במתכונת משמרות נדרשת הפסקה של שמונה שעות לפחות. </w:t>
      </w:r>
    </w:p>
    <w:p w14:paraId="459BB498" w14:textId="27515642" w:rsidR="00FE0D72" w:rsidRDefault="00FE0D72" w:rsidP="002D361C">
      <w:pPr>
        <w:pStyle w:val="Hesber"/>
        <w:rPr>
          <w:rtl/>
        </w:rPr>
      </w:pPr>
      <w:r>
        <w:rPr>
          <w:rFonts w:hint="cs"/>
          <w:rtl/>
        </w:rPr>
        <w:t xml:space="preserve">עוד </w:t>
      </w:r>
      <w:r w:rsidRPr="005B0787">
        <w:rPr>
          <w:rFonts w:hint="cs"/>
          <w:rtl/>
        </w:rPr>
        <w:t>מוצע</w:t>
      </w:r>
      <w:r w:rsidRPr="005B0787">
        <w:rPr>
          <w:rtl/>
        </w:rPr>
        <w:t xml:space="preserve"> </w:t>
      </w:r>
      <w:r w:rsidRPr="005B0787">
        <w:rPr>
          <w:rFonts w:hint="cs"/>
          <w:rtl/>
        </w:rPr>
        <w:t>ל</w:t>
      </w:r>
      <w:r>
        <w:rPr>
          <w:rFonts w:hint="cs"/>
          <w:rtl/>
        </w:rPr>
        <w:t>קבוע</w:t>
      </w:r>
      <w:r w:rsidRPr="005B0787">
        <w:rPr>
          <w:rtl/>
        </w:rPr>
        <w:t xml:space="preserve"> </w:t>
      </w:r>
      <w:r w:rsidRPr="005B0787">
        <w:rPr>
          <w:rFonts w:hint="cs"/>
          <w:rtl/>
        </w:rPr>
        <w:t>כי</w:t>
      </w:r>
      <w:r w:rsidRPr="005B0787">
        <w:rPr>
          <w:rtl/>
        </w:rPr>
        <w:t xml:space="preserve"> </w:t>
      </w:r>
      <w:r w:rsidRPr="005B0787">
        <w:rPr>
          <w:rFonts w:hint="cs"/>
          <w:rtl/>
        </w:rPr>
        <w:t>במקרה</w:t>
      </w:r>
      <w:r w:rsidRPr="005B0787">
        <w:rPr>
          <w:rtl/>
        </w:rPr>
        <w:t xml:space="preserve"> </w:t>
      </w:r>
      <w:r w:rsidRPr="005B0787">
        <w:rPr>
          <w:rFonts w:hint="cs"/>
          <w:rtl/>
        </w:rPr>
        <w:t>בו</w:t>
      </w:r>
      <w:r w:rsidRPr="005B0787">
        <w:rPr>
          <w:rtl/>
        </w:rPr>
        <w:t xml:space="preserve"> </w:t>
      </w:r>
      <w:r w:rsidRPr="005B0787">
        <w:rPr>
          <w:rFonts w:hint="cs"/>
          <w:rtl/>
        </w:rPr>
        <w:t>מעסיק</w:t>
      </w:r>
      <w:r w:rsidRPr="005B0787">
        <w:rPr>
          <w:rtl/>
        </w:rPr>
        <w:t xml:space="preserve"> </w:t>
      </w:r>
      <w:r w:rsidRPr="005B0787">
        <w:rPr>
          <w:rFonts w:hint="cs"/>
          <w:rtl/>
        </w:rPr>
        <w:t>פועל</w:t>
      </w:r>
      <w:r w:rsidRPr="005B0787">
        <w:rPr>
          <w:rtl/>
        </w:rPr>
        <w:t xml:space="preserve"> </w:t>
      </w:r>
      <w:r w:rsidRPr="005B0787">
        <w:rPr>
          <w:rFonts w:hint="cs"/>
          <w:rtl/>
        </w:rPr>
        <w:t>בניגוד</w:t>
      </w:r>
      <w:r w:rsidRPr="005B0787">
        <w:rPr>
          <w:rtl/>
        </w:rPr>
        <w:t xml:space="preserve"> </w:t>
      </w:r>
      <w:r w:rsidRPr="005B0787">
        <w:rPr>
          <w:rFonts w:hint="cs"/>
          <w:rtl/>
        </w:rPr>
        <w:t>להוראת</w:t>
      </w:r>
      <w:r w:rsidRPr="005B0787">
        <w:rPr>
          <w:rtl/>
        </w:rPr>
        <w:t xml:space="preserve"> </w:t>
      </w:r>
      <w:r w:rsidRPr="005B0787">
        <w:rPr>
          <w:rFonts w:hint="cs"/>
          <w:rtl/>
        </w:rPr>
        <w:t>סעיף</w:t>
      </w:r>
      <w:r w:rsidRPr="005B0787">
        <w:rPr>
          <w:rtl/>
        </w:rPr>
        <w:t xml:space="preserve"> 21</w:t>
      </w:r>
      <w:r>
        <w:rPr>
          <w:rFonts w:hint="cs"/>
          <w:rtl/>
        </w:rPr>
        <w:t>(א)</w:t>
      </w:r>
      <w:r w:rsidRPr="005B0787">
        <w:rPr>
          <w:rtl/>
        </w:rPr>
        <w:t xml:space="preserve"> לחוק</w:t>
      </w:r>
      <w:r>
        <w:rPr>
          <w:rFonts w:hint="cs"/>
          <w:rtl/>
        </w:rPr>
        <w:t xml:space="preserve">, </w:t>
      </w:r>
      <w:r w:rsidRPr="005B0787">
        <w:rPr>
          <w:rFonts w:hint="cs"/>
          <w:rtl/>
        </w:rPr>
        <w:t>ומפצל</w:t>
      </w:r>
      <w:r w:rsidRPr="005B0787">
        <w:rPr>
          <w:rtl/>
        </w:rPr>
        <w:t xml:space="preserve"> את שעות העבודה באותו יום </w:t>
      </w:r>
      <w:r>
        <w:rPr>
          <w:rFonts w:hint="cs"/>
          <w:rtl/>
        </w:rPr>
        <w:t xml:space="preserve">או בין יום אחד למשנהו לשתי משמרות ללא הפסקה של </w:t>
      </w:r>
      <w:r w:rsidRPr="005B0787">
        <w:rPr>
          <w:rFonts w:hint="cs"/>
          <w:rtl/>
        </w:rPr>
        <w:t>שמונה</w:t>
      </w:r>
      <w:r w:rsidRPr="005B0787">
        <w:rPr>
          <w:rtl/>
        </w:rPr>
        <w:t xml:space="preserve"> </w:t>
      </w:r>
      <w:r w:rsidRPr="005B0787">
        <w:rPr>
          <w:rFonts w:hint="cs"/>
          <w:rtl/>
        </w:rPr>
        <w:t>שעות</w:t>
      </w:r>
      <w:r w:rsidRPr="005B0787">
        <w:rPr>
          <w:rtl/>
        </w:rPr>
        <w:t>,</w:t>
      </w:r>
      <w:r>
        <w:rPr>
          <w:rFonts w:hint="cs"/>
          <w:rtl/>
        </w:rPr>
        <w:t xml:space="preserve"> </w:t>
      </w:r>
      <w:r w:rsidRPr="005B0787">
        <w:rPr>
          <w:rFonts w:hint="cs"/>
          <w:rtl/>
        </w:rPr>
        <w:t>יראו</w:t>
      </w:r>
      <w:r w:rsidRPr="005B0787">
        <w:rPr>
          <w:rtl/>
        </w:rPr>
        <w:t xml:space="preserve"> את </w:t>
      </w:r>
      <w:r w:rsidRPr="005B0787">
        <w:rPr>
          <w:rFonts w:hint="cs"/>
          <w:rtl/>
        </w:rPr>
        <w:t>שעות</w:t>
      </w:r>
      <w:r w:rsidRPr="005B0787">
        <w:rPr>
          <w:rtl/>
        </w:rPr>
        <w:t xml:space="preserve"> </w:t>
      </w:r>
      <w:r w:rsidRPr="005B0787">
        <w:rPr>
          <w:rFonts w:hint="cs"/>
          <w:rtl/>
        </w:rPr>
        <w:t>העבודה</w:t>
      </w:r>
      <w:r>
        <w:rPr>
          <w:rFonts w:hint="cs"/>
          <w:rtl/>
        </w:rPr>
        <w:t xml:space="preserve"> של המשמרת השנייה</w:t>
      </w:r>
      <w:r w:rsidRPr="005B0787">
        <w:rPr>
          <w:rtl/>
        </w:rPr>
        <w:t xml:space="preserve"> </w:t>
      </w:r>
      <w:r>
        <w:rPr>
          <w:rFonts w:hint="cs"/>
          <w:rtl/>
        </w:rPr>
        <w:t>כהמשך של אותו יום עבודה</w:t>
      </w:r>
      <w:r w:rsidRPr="005B0787">
        <w:rPr>
          <w:rtl/>
        </w:rPr>
        <w:t>, והעובד יהיה זכאי</w:t>
      </w:r>
      <w:r>
        <w:rPr>
          <w:rFonts w:hint="cs"/>
          <w:rtl/>
        </w:rPr>
        <w:t>, בין השאר,</w:t>
      </w:r>
      <w:r w:rsidRPr="005B0787">
        <w:rPr>
          <w:rtl/>
        </w:rPr>
        <w:t xml:space="preserve"> לגמול שעות נוספות</w:t>
      </w:r>
      <w:r>
        <w:rPr>
          <w:rFonts w:hint="cs"/>
          <w:rtl/>
        </w:rPr>
        <w:t xml:space="preserve"> בעד השעות העולות על שעות העבודה הרגילות</w:t>
      </w:r>
      <w:r w:rsidRPr="005B0787">
        <w:rPr>
          <w:rtl/>
        </w:rPr>
        <w:t>.</w:t>
      </w:r>
      <w:r>
        <w:rPr>
          <w:rFonts w:hint="cs"/>
          <w:rtl/>
        </w:rPr>
        <w:t xml:space="preserve"> </w:t>
      </w:r>
    </w:p>
    <w:p w14:paraId="016C12EC" w14:textId="7E04D5EF" w:rsidR="00FE0D72" w:rsidRDefault="00FE0D72" w:rsidP="006B188C">
      <w:pPr>
        <w:pStyle w:val="Hesber"/>
        <w:rPr>
          <w:rtl/>
        </w:rPr>
      </w:pPr>
      <w:r>
        <w:rPr>
          <w:rFonts w:hint="cs"/>
          <w:rtl/>
        </w:rPr>
        <w:t>הצעת חוק זהה הונחה על שולחן הכנסת העשרים על ידי חברות הכנסת שלי יחימוביץ ויוליה מלינובסקי (</w:t>
      </w:r>
      <w:r w:rsidR="006B188C">
        <w:rPr>
          <w:rFonts w:hint="cs"/>
          <w:rtl/>
        </w:rPr>
        <w:t>פ/5745/20</w:t>
      </w:r>
      <w:bookmarkStart w:id="8" w:name="_GoBack"/>
      <w:bookmarkEnd w:id="8"/>
      <w:r>
        <w:rPr>
          <w:rFonts w:hint="cs"/>
          <w:rtl/>
        </w:rPr>
        <w:t>)</w:t>
      </w:r>
      <w:r w:rsidR="00280C4B">
        <w:rPr>
          <w:rFonts w:hint="cs"/>
          <w:rtl/>
        </w:rPr>
        <w:t>.</w:t>
      </w:r>
    </w:p>
    <w:p w14:paraId="0F315323" w14:textId="77777777" w:rsidR="00280C4B" w:rsidRDefault="00280C4B" w:rsidP="00FE0D72">
      <w:pPr>
        <w:pStyle w:val="Hesber"/>
        <w:rPr>
          <w:rtl/>
        </w:rPr>
      </w:pPr>
    </w:p>
    <w:p w14:paraId="626E5298" w14:textId="77777777" w:rsidR="00280C4B" w:rsidRDefault="00280C4B" w:rsidP="00FE0D72">
      <w:pPr>
        <w:pStyle w:val="Hesber"/>
        <w:rPr>
          <w:rtl/>
        </w:rPr>
      </w:pPr>
    </w:p>
    <w:p w14:paraId="6800D9BD" w14:textId="77777777" w:rsidR="00280C4B" w:rsidRPr="00D73212" w:rsidRDefault="00280C4B" w:rsidP="00280C4B">
      <w:pPr>
        <w:pStyle w:val="Hesber"/>
        <w:rPr>
          <w:color w:val="auto"/>
          <w:rtl/>
          <w:lang w:eastAsia="en-US"/>
        </w:rPr>
      </w:pPr>
      <w:r w:rsidRPr="00D73212">
        <w:rPr>
          <w:color w:val="auto"/>
          <w:rtl/>
          <w:lang w:eastAsia="en-US"/>
        </w:rPr>
        <w:t>---------------------------------</w:t>
      </w:r>
    </w:p>
    <w:p w14:paraId="03AE0E8A" w14:textId="77777777" w:rsidR="00280C4B" w:rsidRPr="00D73212" w:rsidRDefault="00280C4B" w:rsidP="00280C4B">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77086AB" w14:textId="77777777" w:rsidR="00280C4B" w:rsidRPr="00D73212" w:rsidRDefault="00280C4B" w:rsidP="00280C4B">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552BC36D" w14:textId="42EB3359" w:rsidR="00280C4B" w:rsidRDefault="00280C4B" w:rsidP="00280C4B">
      <w:pPr>
        <w:pStyle w:val="Hesber"/>
        <w:rPr>
          <w:rtl/>
        </w:rPr>
      </w:pPr>
      <w:r>
        <w:rPr>
          <w:rFonts w:hint="cs"/>
          <w:color w:val="auto"/>
          <w:rtl/>
          <w:lang w:eastAsia="en-US"/>
        </w:rPr>
        <w:t>כ"ב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27.5</w:t>
      </w:r>
      <w:r w:rsidRPr="00D73212">
        <w:rPr>
          <w:color w:val="auto"/>
          <w:rtl/>
          <w:lang w:eastAsia="en-US"/>
        </w:rPr>
        <w:t>.</w:t>
      </w:r>
      <w:r>
        <w:rPr>
          <w:rFonts w:hint="cs"/>
          <w:color w:val="auto"/>
          <w:rtl/>
          <w:lang w:eastAsia="en-US"/>
        </w:rPr>
        <w:t xml:space="preserve">19  </w:t>
      </w:r>
    </w:p>
    <w:p w14:paraId="2A1EAA33" w14:textId="77777777" w:rsidR="00FE0D72" w:rsidRDefault="00FE0D72" w:rsidP="00FE0D72">
      <w:pPr>
        <w:pStyle w:val="Hesber"/>
        <w:rPr>
          <w:rtl/>
        </w:rPr>
      </w:pPr>
    </w:p>
    <w:sectPr w:rsidR="00FE0D7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B188C">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268CF9C" w14:textId="77777777" w:rsidR="00FE0D72" w:rsidRDefault="00FE0D72" w:rsidP="00FE0D72">
      <w:pPr>
        <w:pStyle w:val="a4"/>
        <w:rPr>
          <w:rtl/>
        </w:rPr>
      </w:pPr>
      <w:r>
        <w:rPr>
          <w:rStyle w:val="a5"/>
        </w:rPr>
        <w:footnoteRef/>
      </w:r>
      <w:r>
        <w:rPr>
          <w:rtl/>
        </w:rPr>
        <w:t xml:space="preserve"> </w:t>
      </w:r>
      <w:r>
        <w:rPr>
          <w:rFonts w:hint="cs"/>
          <w:rtl/>
        </w:rPr>
        <w:t xml:space="preserve">ס''ח התשי''א, עמ' 204.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80C4B"/>
    <w:rsid w:val="00292712"/>
    <w:rsid w:val="002A487D"/>
    <w:rsid w:val="002C2E29"/>
    <w:rsid w:val="002C3041"/>
    <w:rsid w:val="002D1EE3"/>
    <w:rsid w:val="002D361C"/>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188C"/>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23BF6"/>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E0D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40E20BA-8E46-4D22-A053-A7415153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9EF1B9D-A2FA-40D0-A5F4-EABF8DA4D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B6C0E93-4A73-4574-A2D7-6B0F3684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364</Words>
  <Characters>2077</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9</cp:revision>
  <cp:lastPrinted>2019-05-21T10:00:00Z</cp:lastPrinted>
  <dcterms:created xsi:type="dcterms:W3CDTF">2015-04-20T09:58:00Z</dcterms:created>
  <dcterms:modified xsi:type="dcterms:W3CDTF">2019-05-21T10:00:00Z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2078889</vt:r8>
  </property>
</Properties>
</file>