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2078839</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ואחת</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מאיר כהן</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7F6961AB" w14:textId="402DDE95" w:rsidR="00E13C27" w:rsidRPr="00E06736" w:rsidRDefault="00266D86" w:rsidP="00F75DB5">
      <w:pPr>
        <w:pStyle w:val="David"/>
        <w:spacing w:before="0" w:line="360" w:lineRule="auto"/>
        <w:ind w:left="3544"/>
        <w:rPr>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bookmarkStart w:id="6" w:name="Private_Number"/>
      <w:r w:rsidR="00F75DB5">
        <w:tab/>
      </w:r>
      <w:r w:rsidR="00904591">
        <w:rPr>
          <w:rFonts w:hint="cs"/>
          <w:rtl/>
        </w:rPr>
        <w:t>פ/433/21</w:t>
      </w:r>
      <w:bookmarkEnd w:id="6"/>
    </w:p>
    <w:p w14:paraId="6847841F" w14:textId="159BEC1D" w:rsidR="001A7C57" w:rsidRDefault="00A443CF" w:rsidP="00F75DB5">
      <w:pPr>
        <w:pStyle w:val="HeadHatzaotHok"/>
      </w:pPr>
      <w:bookmarkStart w:id="7" w:name="LGS_Subject"/>
      <w:r>
        <w:rPr>
          <w:rFonts w:hint="cs"/>
          <w:rtl/>
        </w:rPr>
        <w:t xml:space="preserve">הצעת חוק הממשלה (תיקון – ועדת שרים לענייני חקיקה), </w:t>
      </w:r>
      <w:proofErr w:type="spellStart"/>
      <w:r>
        <w:rPr>
          <w:rFonts w:hint="cs"/>
          <w:rtl/>
        </w:rPr>
        <w:t>התשע"ט</w:t>
      </w:r>
      <w:proofErr w:type="spellEnd"/>
      <w:r>
        <w:rPr>
          <w:rFonts w:hint="cs"/>
          <w:rtl/>
        </w:rPr>
        <w:t>–2019</w:t>
      </w:r>
      <w:bookmarkEnd w:id="7"/>
    </w:p>
    <w:tbl>
      <w:tblPr>
        <w:bidiVisual/>
        <w:tblW w:w="9645" w:type="dxa"/>
        <w:tblLayout w:type="fixed"/>
        <w:tblCellMar>
          <w:top w:w="57" w:type="dxa"/>
          <w:left w:w="0" w:type="dxa"/>
          <w:bottom w:w="57" w:type="dxa"/>
          <w:right w:w="0" w:type="dxa"/>
        </w:tblCellMar>
        <w:tblLook w:val="01E0" w:firstRow="1" w:lastRow="1" w:firstColumn="1" w:lastColumn="1" w:noHBand="0" w:noVBand="0"/>
      </w:tblPr>
      <w:tblGrid>
        <w:gridCol w:w="1872"/>
        <w:gridCol w:w="624"/>
        <w:gridCol w:w="1873"/>
        <w:gridCol w:w="624"/>
        <w:gridCol w:w="4652"/>
      </w:tblGrid>
      <w:tr w:rsidR="001A7C57" w14:paraId="1B746459" w14:textId="77777777" w:rsidTr="005B16E5">
        <w:trPr>
          <w:cantSplit/>
          <w:trHeight w:val="60"/>
        </w:trPr>
        <w:tc>
          <w:tcPr>
            <w:tcW w:w="1871" w:type="dxa"/>
            <w:hideMark/>
          </w:tcPr>
          <w:p w14:paraId="1AA499FE" w14:textId="77777777" w:rsidR="001A7C57" w:rsidRDefault="001A7C57" w:rsidP="005B16E5">
            <w:pPr>
              <w:pStyle w:val="TableSideHeading"/>
              <w:keepLines w:val="0"/>
              <w:rPr>
                <w:sz w:val="26"/>
                <w:rtl/>
              </w:rPr>
            </w:pPr>
            <w:r>
              <w:rPr>
                <w:rFonts w:hint="cs"/>
                <w:sz w:val="26"/>
                <w:rtl/>
              </w:rPr>
              <w:t>הוספת סעיף 7א</w:t>
            </w:r>
          </w:p>
        </w:tc>
        <w:tc>
          <w:tcPr>
            <w:tcW w:w="624" w:type="dxa"/>
            <w:hideMark/>
          </w:tcPr>
          <w:p w14:paraId="37B45AFF" w14:textId="77777777" w:rsidR="001A7C57" w:rsidRDefault="001A7C57" w:rsidP="005B16E5">
            <w:pPr>
              <w:pStyle w:val="TableText"/>
              <w:keepLines w:val="0"/>
              <w:rPr>
                <w:rFonts w:hint="cs"/>
                <w:sz w:val="26"/>
                <w:rtl/>
              </w:rPr>
            </w:pPr>
            <w:r>
              <w:rPr>
                <w:rFonts w:hint="cs"/>
                <w:sz w:val="26"/>
                <w:rtl/>
              </w:rPr>
              <w:t>1.</w:t>
            </w:r>
          </w:p>
        </w:tc>
        <w:tc>
          <w:tcPr>
            <w:tcW w:w="7146" w:type="dxa"/>
            <w:gridSpan w:val="3"/>
            <w:hideMark/>
          </w:tcPr>
          <w:p w14:paraId="1D13CB8B" w14:textId="77777777" w:rsidR="001A7C57" w:rsidRDefault="001A7C57" w:rsidP="005B16E5">
            <w:pPr>
              <w:pStyle w:val="TableBlock"/>
              <w:rPr>
                <w:rtl/>
              </w:rPr>
            </w:pPr>
            <w:r>
              <w:rPr>
                <w:rFonts w:hint="cs"/>
                <w:rtl/>
              </w:rPr>
              <w:t xml:space="preserve">בחוק הממשלה, </w:t>
            </w:r>
            <w:proofErr w:type="spellStart"/>
            <w:r>
              <w:rPr>
                <w:rFonts w:hint="cs"/>
                <w:rtl/>
              </w:rPr>
              <w:t>התשס"א</w:t>
            </w:r>
            <w:proofErr w:type="spellEnd"/>
            <w:r>
              <w:rPr>
                <w:rFonts w:hint="cs"/>
                <w:rtl/>
              </w:rPr>
              <w:t>–2001</w:t>
            </w:r>
            <w:r>
              <w:rPr>
                <w:rStyle w:val="a6"/>
                <w:rtl/>
              </w:rPr>
              <w:footnoteReference w:id="2"/>
            </w:r>
            <w:r>
              <w:rPr>
                <w:rFonts w:hint="cs"/>
                <w:rtl/>
              </w:rPr>
              <w:t>, אחרי סעיף 7 יבוא:</w:t>
            </w:r>
          </w:p>
        </w:tc>
      </w:tr>
      <w:tr w:rsidR="001A7C57" w14:paraId="16FE62FC" w14:textId="77777777" w:rsidTr="005B16E5">
        <w:trPr>
          <w:cantSplit/>
          <w:trHeight w:val="60"/>
        </w:trPr>
        <w:tc>
          <w:tcPr>
            <w:tcW w:w="1871" w:type="dxa"/>
          </w:tcPr>
          <w:p w14:paraId="5B3A5D6F" w14:textId="77777777" w:rsidR="001A7C57" w:rsidRDefault="001A7C57" w:rsidP="005B16E5">
            <w:pPr>
              <w:pStyle w:val="TableSideHeading"/>
              <w:keepLines w:val="0"/>
              <w:rPr>
                <w:rtl/>
              </w:rPr>
            </w:pPr>
          </w:p>
        </w:tc>
        <w:tc>
          <w:tcPr>
            <w:tcW w:w="624" w:type="dxa"/>
          </w:tcPr>
          <w:p w14:paraId="691F4084" w14:textId="77777777" w:rsidR="001A7C57" w:rsidRDefault="001A7C57" w:rsidP="005B16E5">
            <w:pPr>
              <w:pStyle w:val="TableText"/>
              <w:keepLines w:val="0"/>
            </w:pPr>
          </w:p>
        </w:tc>
        <w:tc>
          <w:tcPr>
            <w:tcW w:w="1872" w:type="dxa"/>
            <w:hideMark/>
          </w:tcPr>
          <w:p w14:paraId="6EFAF5F2" w14:textId="77777777" w:rsidR="001A7C57" w:rsidRDefault="001A7C57" w:rsidP="005B16E5">
            <w:pPr>
              <w:pStyle w:val="TableInnerSideHeading"/>
            </w:pPr>
            <w:r>
              <w:rPr>
                <w:rFonts w:hint="cs"/>
                <w:rtl/>
              </w:rPr>
              <w:t>"ועדת שרים לענייני חקיקה</w:t>
            </w:r>
          </w:p>
        </w:tc>
        <w:tc>
          <w:tcPr>
            <w:tcW w:w="624" w:type="dxa"/>
            <w:hideMark/>
          </w:tcPr>
          <w:p w14:paraId="2CBA37A1" w14:textId="77777777" w:rsidR="001A7C57" w:rsidRDefault="001A7C57" w:rsidP="005B16E5">
            <w:pPr>
              <w:pStyle w:val="TableText"/>
            </w:pPr>
            <w:r>
              <w:rPr>
                <w:rFonts w:hint="cs"/>
                <w:rtl/>
              </w:rPr>
              <w:t>7א.</w:t>
            </w:r>
          </w:p>
        </w:tc>
        <w:tc>
          <w:tcPr>
            <w:tcW w:w="4650" w:type="dxa"/>
            <w:hideMark/>
          </w:tcPr>
          <w:p w14:paraId="7EF4F8EC" w14:textId="77777777" w:rsidR="001A7C57" w:rsidRDefault="001A7C57" w:rsidP="005B16E5">
            <w:pPr>
              <w:pStyle w:val="TableBlock"/>
            </w:pPr>
            <w:r>
              <w:rPr>
                <w:rFonts w:hint="cs"/>
                <w:rtl/>
              </w:rPr>
              <w:t>מינתה הממשלה ועדת שרים לענייני חקיקה, לפי סעיף 31(ה) לחוק-יסוד: הממשלה</w:t>
            </w:r>
            <w:r>
              <w:rPr>
                <w:rStyle w:val="a6"/>
                <w:rtl/>
              </w:rPr>
              <w:footnoteReference w:id="3"/>
            </w:r>
            <w:r>
              <w:rPr>
                <w:rFonts w:hint="cs"/>
                <w:rtl/>
              </w:rPr>
              <w:t>, לא תתנגד הוועדה להצעת חוק של חבר הכנסת, עליה חתומים 61 חברי הכנסת, ובלבד שעלותה התקציבית של הצעת החוק כאמור אינה עולה על שישה מיליון שקלים חדשים."</w:t>
            </w:r>
          </w:p>
        </w:tc>
      </w:tr>
    </w:tbl>
    <w:p w14:paraId="7F6961CA" w14:textId="77777777" w:rsidR="002D1EE3" w:rsidRDefault="002D1EE3" w:rsidP="002D1EE3">
      <w:pPr>
        <w:pStyle w:val="HeadDivreiHesber"/>
        <w:rPr>
          <w:rtl/>
        </w:rPr>
      </w:pPr>
      <w:r w:rsidRPr="0027450A">
        <w:rPr>
          <w:rFonts w:hint="cs"/>
          <w:rtl/>
        </w:rPr>
        <w:t>דברי הסבר</w:t>
      </w:r>
    </w:p>
    <w:p w14:paraId="7B57C4AD" w14:textId="77777777" w:rsidR="001A7C57" w:rsidRDefault="001A7C57" w:rsidP="001A7C57">
      <w:pPr>
        <w:pStyle w:val="Hesber"/>
      </w:pPr>
      <w:r>
        <w:rPr>
          <w:rFonts w:hint="cs"/>
          <w:rtl/>
        </w:rPr>
        <w:t xml:space="preserve">החלטות ועדת השרים לענייני חקיקה מגבילות את אפשרויות החקיקה הפרטית של חברי הכנסת. הממשלה נוטה לתמוך בהצעות חוק פרטיות רק בתנאי שיקודמו במקביל להצעת חוק ממשלתית דומה. </w:t>
      </w:r>
    </w:p>
    <w:p w14:paraId="71211E80" w14:textId="77777777" w:rsidR="001A7C57" w:rsidRDefault="001A7C57" w:rsidP="001A7C57">
      <w:pPr>
        <w:pStyle w:val="Hesber"/>
        <w:rPr>
          <w:rtl/>
        </w:rPr>
      </w:pPr>
      <w:r>
        <w:rPr>
          <w:rFonts w:hint="cs"/>
          <w:rtl/>
        </w:rPr>
        <w:t>במקרים רבים חברי הכנסת החתומים על ההצעה המקורית ממתינים עם קידום הצעתם עד שהמשרד הרלוונטי יציג את הצעתו, אך לשווא. הקושי בולט במיוחד כאשר ישנה תמיכה רחבה להצעת החוק הפרטית, והממשלה מקדמת הצעת חוק דומה המתאימה לצורכי המשרד. כך, למעשה, הממשלה "מקבלת השראה" מהצעות חוק פרטיות אך חברי הכנסת אינם נזכרים כיוזמי החקיקה.</w:t>
      </w:r>
    </w:p>
    <w:p w14:paraId="1E9C05DE" w14:textId="67B6D670" w:rsidR="001A7C57" w:rsidRDefault="001A7C57" w:rsidP="001A7C57">
      <w:pPr>
        <w:pStyle w:val="Hesber"/>
        <w:rPr>
          <w:rtl/>
        </w:rPr>
      </w:pPr>
      <w:r>
        <w:rPr>
          <w:rFonts w:hint="cs"/>
          <w:rtl/>
        </w:rPr>
        <w:t xml:space="preserve">הצעת חוק זו מחזירה לכנסת את סמכותה העיקרית והדמוקרטית כרשות מחוקקת. היא יוצרת </w:t>
      </w:r>
      <w:proofErr w:type="spellStart"/>
      <w:r>
        <w:rPr>
          <w:rFonts w:hint="cs"/>
          <w:rtl/>
        </w:rPr>
        <w:t>איזונים</w:t>
      </w:r>
      <w:proofErr w:type="spellEnd"/>
      <w:r w:rsidR="00925808">
        <w:rPr>
          <w:rFonts w:hint="cs"/>
          <w:rtl/>
        </w:rPr>
        <w:t xml:space="preserve"> ובלמים על פי עיקרון הפרדת הרשויות. מוצע בהצעה כי </w:t>
      </w:r>
      <w:r>
        <w:rPr>
          <w:rFonts w:hint="cs"/>
          <w:rtl/>
        </w:rPr>
        <w:t xml:space="preserve">ועדת </w:t>
      </w:r>
      <w:r w:rsidR="00925808">
        <w:rPr>
          <w:rFonts w:hint="cs"/>
          <w:rtl/>
        </w:rPr>
        <w:t>ה</w:t>
      </w:r>
      <w:r>
        <w:rPr>
          <w:rFonts w:hint="cs"/>
          <w:rtl/>
        </w:rPr>
        <w:t>שרים לענייני חקיקה לא תוכל להתנגד להצעת חוק פרטית שעליה חתומים 61 חברי הכנסת</w:t>
      </w:r>
      <w:r w:rsidR="00925808">
        <w:rPr>
          <w:rFonts w:hint="cs"/>
          <w:rtl/>
        </w:rPr>
        <w:t>, ובלבד שעלותה אינה עולה על שישה מיליון שקלים חדשים</w:t>
      </w:r>
      <w:r>
        <w:rPr>
          <w:rFonts w:hint="cs"/>
          <w:rtl/>
        </w:rPr>
        <w:t xml:space="preserve">.       </w:t>
      </w:r>
    </w:p>
    <w:p w14:paraId="6299E8BE" w14:textId="523027C3" w:rsidR="001A7C57" w:rsidRDefault="001A7C57" w:rsidP="001A7C57">
      <w:pPr>
        <w:pStyle w:val="Hesber"/>
        <w:rPr>
          <w:rtl/>
        </w:rPr>
      </w:pPr>
      <w:r>
        <w:rPr>
          <w:rFonts w:hint="cs"/>
          <w:rtl/>
        </w:rPr>
        <w:t xml:space="preserve">הצעת חוק זהה הונחה על שולחן הכנסת העשרים על ידי חבר הכנסת מאיר כהן וקבוצת חברי הכנסת (פ/2819/20; הוסרה מסדר היום ביום י"ד בתמוז </w:t>
      </w:r>
      <w:proofErr w:type="spellStart"/>
      <w:r>
        <w:rPr>
          <w:rFonts w:hint="cs"/>
          <w:rtl/>
        </w:rPr>
        <w:t>התשע"ו</w:t>
      </w:r>
      <w:proofErr w:type="spellEnd"/>
      <w:r>
        <w:rPr>
          <w:rFonts w:hint="cs"/>
          <w:rtl/>
        </w:rPr>
        <w:t xml:space="preserve"> (20 ביולי 2016)</w:t>
      </w:r>
      <w:r w:rsidR="003A100D">
        <w:rPr>
          <w:rFonts w:hint="cs"/>
          <w:rtl/>
        </w:rPr>
        <w:t>; פ/4090/20</w:t>
      </w:r>
      <w:r>
        <w:rPr>
          <w:rFonts w:hint="cs"/>
          <w:rtl/>
        </w:rPr>
        <w:t>).</w:t>
      </w:r>
    </w:p>
    <w:p w14:paraId="1E698AB3" w14:textId="77777777" w:rsidR="00F75DB5" w:rsidRPr="003C5528" w:rsidRDefault="00F75DB5" w:rsidP="00F75DB5">
      <w:pPr>
        <w:pStyle w:val="Hesber"/>
        <w:spacing w:line="240" w:lineRule="auto"/>
        <w:rPr>
          <w:rtl/>
        </w:rPr>
      </w:pPr>
      <w:r w:rsidRPr="003C5528">
        <w:rPr>
          <w:rtl/>
        </w:rPr>
        <w:t>---------------------------------</w:t>
      </w:r>
    </w:p>
    <w:p w14:paraId="51FAADAC" w14:textId="77777777" w:rsidR="00F75DB5" w:rsidRPr="003C5528" w:rsidRDefault="00F75DB5" w:rsidP="00F75DB5">
      <w:pPr>
        <w:pStyle w:val="Hesber"/>
        <w:spacing w:line="240" w:lineRule="auto"/>
        <w:rPr>
          <w:rtl/>
        </w:rPr>
      </w:pPr>
      <w:r w:rsidRPr="003C5528">
        <w:rPr>
          <w:rFonts w:hint="cs"/>
          <w:rtl/>
        </w:rPr>
        <w:t>הוגשה</w:t>
      </w:r>
      <w:r w:rsidRPr="003C5528">
        <w:rPr>
          <w:rtl/>
        </w:rPr>
        <w:t xml:space="preserve"> </w:t>
      </w:r>
      <w:r w:rsidRPr="003C5528">
        <w:rPr>
          <w:rFonts w:hint="cs"/>
          <w:rtl/>
        </w:rPr>
        <w:t>ליו</w:t>
      </w:r>
      <w:r w:rsidRPr="003C5528">
        <w:rPr>
          <w:rtl/>
        </w:rPr>
        <w:t>"</w:t>
      </w:r>
      <w:r w:rsidRPr="003C5528">
        <w:rPr>
          <w:rFonts w:hint="cs"/>
          <w:rtl/>
        </w:rPr>
        <w:t>ר</w:t>
      </w:r>
      <w:r w:rsidRPr="003C5528">
        <w:rPr>
          <w:rtl/>
        </w:rPr>
        <w:t xml:space="preserve"> </w:t>
      </w:r>
      <w:r w:rsidRPr="003C5528">
        <w:rPr>
          <w:rFonts w:hint="cs"/>
          <w:rtl/>
        </w:rPr>
        <w:t>הכנסת</w:t>
      </w:r>
      <w:r w:rsidRPr="003C5528">
        <w:rPr>
          <w:rtl/>
        </w:rPr>
        <w:t xml:space="preserve"> </w:t>
      </w:r>
      <w:r w:rsidRPr="003C5528">
        <w:rPr>
          <w:rFonts w:hint="cs"/>
          <w:rtl/>
        </w:rPr>
        <w:t>והסגנים</w:t>
      </w:r>
    </w:p>
    <w:p w14:paraId="18E5859D" w14:textId="77777777" w:rsidR="00F75DB5" w:rsidRPr="003C5528" w:rsidRDefault="00F75DB5" w:rsidP="00F75DB5">
      <w:pPr>
        <w:pStyle w:val="Hesber"/>
        <w:spacing w:line="240" w:lineRule="auto"/>
        <w:rPr>
          <w:rtl/>
        </w:rPr>
      </w:pPr>
      <w:r w:rsidRPr="003C5528">
        <w:rPr>
          <w:rFonts w:hint="cs"/>
          <w:rtl/>
        </w:rPr>
        <w:t>והונחה</w:t>
      </w:r>
      <w:r w:rsidRPr="003C5528">
        <w:rPr>
          <w:rtl/>
        </w:rPr>
        <w:t xml:space="preserve"> </w:t>
      </w:r>
      <w:r w:rsidRPr="003C5528">
        <w:rPr>
          <w:rFonts w:hint="cs"/>
          <w:rtl/>
        </w:rPr>
        <w:t>על</w:t>
      </w:r>
      <w:r w:rsidRPr="003C5528">
        <w:rPr>
          <w:rtl/>
        </w:rPr>
        <w:t xml:space="preserve"> </w:t>
      </w:r>
      <w:r w:rsidRPr="003C5528">
        <w:rPr>
          <w:rFonts w:hint="cs"/>
          <w:rtl/>
        </w:rPr>
        <w:t>שולחן</w:t>
      </w:r>
      <w:r w:rsidRPr="003C5528">
        <w:rPr>
          <w:rtl/>
        </w:rPr>
        <w:t xml:space="preserve"> </w:t>
      </w:r>
      <w:r w:rsidRPr="003C5528">
        <w:rPr>
          <w:rFonts w:hint="cs"/>
          <w:rtl/>
        </w:rPr>
        <w:t>הכנסת</w:t>
      </w:r>
      <w:r w:rsidRPr="003C5528">
        <w:rPr>
          <w:rtl/>
        </w:rPr>
        <w:t xml:space="preserve"> </w:t>
      </w:r>
      <w:r w:rsidRPr="003C5528">
        <w:rPr>
          <w:rFonts w:hint="cs"/>
          <w:rtl/>
        </w:rPr>
        <w:t>ביום</w:t>
      </w:r>
    </w:p>
    <w:p w14:paraId="7F6961CB" w14:textId="59D31780" w:rsidR="00E13C27" w:rsidRDefault="00F75DB5" w:rsidP="00F75DB5">
      <w:pPr>
        <w:pStyle w:val="Hesber"/>
        <w:spacing w:line="240" w:lineRule="auto"/>
        <w:rPr>
          <w:rtl/>
        </w:rPr>
      </w:pPr>
      <w:r>
        <w:rPr>
          <w:rFonts w:hint="cs"/>
          <w:color w:val="auto"/>
          <w:rtl/>
          <w:lang w:eastAsia="en-US"/>
        </w:rPr>
        <w:t>כ"ב באייר</w:t>
      </w:r>
      <w:r w:rsidRPr="00D73212">
        <w:rPr>
          <w:color w:val="auto"/>
          <w:rtl/>
          <w:lang w:eastAsia="en-US"/>
        </w:rPr>
        <w:t xml:space="preserve"> </w:t>
      </w:r>
      <w:proofErr w:type="spellStart"/>
      <w:r w:rsidRPr="00D73212">
        <w:rPr>
          <w:rFonts w:hint="cs"/>
          <w:color w:val="auto"/>
          <w:rtl/>
          <w:lang w:eastAsia="en-US"/>
        </w:rPr>
        <w:t>התשע</w:t>
      </w:r>
      <w:r w:rsidRPr="00D73212">
        <w:rPr>
          <w:color w:val="auto"/>
          <w:rtl/>
          <w:lang w:eastAsia="en-US"/>
        </w:rPr>
        <w:t>"</w:t>
      </w:r>
      <w:r>
        <w:rPr>
          <w:rFonts w:hint="cs"/>
          <w:color w:val="auto"/>
          <w:rtl/>
          <w:lang w:eastAsia="en-US"/>
        </w:rPr>
        <w:t>ט</w:t>
      </w:r>
      <w:proofErr w:type="spellEnd"/>
      <w:r>
        <w:rPr>
          <w:rFonts w:hint="cs"/>
          <w:color w:val="auto"/>
          <w:rtl/>
          <w:lang w:eastAsia="en-US"/>
        </w:rPr>
        <w:t xml:space="preserve"> </w:t>
      </w:r>
      <w:r w:rsidRPr="00D73212">
        <w:rPr>
          <w:color w:val="auto"/>
          <w:rtl/>
          <w:lang w:eastAsia="en-US"/>
        </w:rPr>
        <w:t>–</w:t>
      </w:r>
      <w:r>
        <w:rPr>
          <w:rFonts w:hint="cs"/>
          <w:color w:val="auto"/>
          <w:rtl/>
          <w:lang w:eastAsia="en-US"/>
        </w:rPr>
        <w:t xml:space="preserve"> 27.5</w:t>
      </w:r>
      <w:r w:rsidRPr="00D73212">
        <w:rPr>
          <w:color w:val="auto"/>
          <w:rtl/>
          <w:lang w:eastAsia="en-US"/>
        </w:rPr>
        <w:t>.</w:t>
      </w:r>
      <w:r>
        <w:rPr>
          <w:rFonts w:hint="cs"/>
          <w:color w:val="auto"/>
          <w:rtl/>
          <w:lang w:eastAsia="en-US"/>
        </w:rPr>
        <w:t>19</w:t>
      </w:r>
      <w:bookmarkStart w:id="8" w:name="_GoBack"/>
      <w:bookmarkEnd w:id="8"/>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F75DB5">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8280ABB" w14:textId="77777777" w:rsidR="001A7C57" w:rsidRDefault="001A7C57" w:rsidP="001A7C57">
      <w:pPr>
        <w:pStyle w:val="a4"/>
      </w:pPr>
      <w:r>
        <w:rPr>
          <w:rStyle w:val="a6"/>
        </w:rPr>
        <w:footnoteRef/>
      </w:r>
      <w:r>
        <w:rPr>
          <w:rFonts w:hint="cs"/>
          <w:rtl/>
        </w:rPr>
        <w:t xml:space="preserve"> ס"ח </w:t>
      </w:r>
      <w:proofErr w:type="spellStart"/>
      <w:r>
        <w:rPr>
          <w:rFonts w:hint="cs"/>
          <w:rtl/>
        </w:rPr>
        <w:t>התשס"א</w:t>
      </w:r>
      <w:proofErr w:type="spellEnd"/>
      <w:r>
        <w:rPr>
          <w:rFonts w:hint="cs"/>
          <w:rtl/>
        </w:rPr>
        <w:t>, עמ' 168.</w:t>
      </w:r>
    </w:p>
  </w:footnote>
  <w:footnote w:id="3">
    <w:p w14:paraId="73306FB6" w14:textId="77777777" w:rsidR="001A7C57" w:rsidRDefault="001A7C57" w:rsidP="001A7C57">
      <w:pPr>
        <w:pStyle w:val="a4"/>
        <w:rPr>
          <w:rtl/>
        </w:rPr>
      </w:pPr>
      <w:r>
        <w:rPr>
          <w:rStyle w:val="a6"/>
        </w:rPr>
        <w:footnoteRef/>
      </w:r>
      <w:r>
        <w:rPr>
          <w:rFonts w:hint="cs"/>
          <w:rtl/>
        </w:rPr>
        <w:t xml:space="preserve"> ס"ח </w:t>
      </w:r>
      <w:proofErr w:type="spellStart"/>
      <w:r>
        <w:rPr>
          <w:rFonts w:hint="cs"/>
          <w:rtl/>
        </w:rPr>
        <w:t>התשס"א</w:t>
      </w:r>
      <w:proofErr w:type="spellEnd"/>
      <w:r>
        <w:rPr>
          <w:rFonts w:hint="cs"/>
          <w:rtl/>
        </w:rPr>
        <w:t>, עמ' 158.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A7C57"/>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A100D"/>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25808"/>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453AE"/>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75DB5"/>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D382CBD9-6BC3-4DA3-A951-87C0B96F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semiHidden/>
    <w:rsid w:val="001A7C57"/>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697467741CB98040970A6DBBC195775F" ma:contentTypeVersion="" ma:contentTypeDescription="צור מסמך חדש." ma:contentTypeScope="" ma:versionID="6e55fc6acbead604c2f45a2c1dd20751">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263D483F-E64E-46F3-8263-408F2D745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08BFE41-842C-42AA-9D4F-88BF6D8A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259</Words>
  <Characters>1298</Characters>
  <Application>Microsoft Office Word</Application>
  <DocSecurity>0</DocSecurity>
  <Lines>10</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8</cp:revision>
  <cp:lastPrinted>2019-05-23T06:21:00Z</cp:lastPrinted>
  <dcterms:created xsi:type="dcterms:W3CDTF">2015-04-20T09:58:00Z</dcterms:created>
  <dcterms:modified xsi:type="dcterms:W3CDTF">2019-05-23T06:21:00Z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0x010100697467741CB98040970A6DBBC195775F</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2078839</vt:r8>
  </property>
</Properties>
</file>