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2078757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מאיר כהן</w:t>
      </w:r>
      <w:bookmarkEnd w:id="3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4" w:name="Private_Number"/>
      <w:r>
        <w:rPr>
          <w:rFonts w:hint="cs"/>
          <w:rtl/>
        </w:rPr>
        <w:t>פ/413/21</w:t>
      </w:r>
      <w:bookmarkEnd w:id="4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 xml:space="preserve">הצעת חוק הטבות ברכישת דירה יד שנייה לזכאים לרכישת דירה בתכנית מחיר למשתכן שלא זכו בהגרלה, </w:t>
      </w:r>
      <w:proofErr w:type="spellStart"/>
      <w:r>
        <w:rPr>
          <w:rFonts w:hint="cs"/>
          <w:rtl/>
        </w:rPr>
        <w:t>התשע"ט</w:t>
      </w:r>
      <w:proofErr w:type="spellEnd"/>
      <w:r>
        <w:rPr>
          <w:rFonts w:hint="cs"/>
          <w:rtl/>
        </w:rPr>
        <w:t>–2019</w:t>
      </w:r>
      <w:bookmarkEnd w:id="5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624"/>
        <w:gridCol w:w="624"/>
        <w:gridCol w:w="624"/>
        <w:gridCol w:w="5896"/>
      </w:tblGrid>
      <w:tr w:rsidR="00B234B3" w:rsidRPr="0069168C" w14:paraId="08004CA1" w14:textId="77777777" w:rsidTr="00075AD7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5B85EEA" w14:textId="77777777" w:rsidR="00B234B3" w:rsidRPr="0069168C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מטרת</w:t>
            </w:r>
            <w:r w:rsidRPr="0069168C"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 xml:space="preserve"> החוק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D1E0F45" w14:textId="77777777" w:rsidR="00B234B3" w:rsidRPr="0069168C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 w:rsidRPr="0069168C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1.</w:t>
            </w:r>
          </w:p>
        </w:tc>
        <w:tc>
          <w:tcPr>
            <w:tcW w:w="7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CC939" w14:textId="508F1B08" w:rsidR="00B234B3" w:rsidRPr="0069168C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מטרתו של חוק זה היא </w:t>
            </w:r>
            <w:r w:rsidRPr="0069168C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מתן מענה </w:t>
            </w:r>
            <w:proofErr w:type="spellStart"/>
            <w:r w:rsidRPr="0069168C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ל</w:t>
            </w:r>
            <w:r w:rsidR="006F3AE0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מ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ח</w:t>
            </w:r>
            <w:r w:rsidR="006F3AE0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ו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סרי</w:t>
            </w:r>
            <w:proofErr w:type="spellEnd"/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 דיור שנמצאו </w:t>
            </w:r>
            <w:r w:rsidRPr="0069168C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זכאים </w:t>
            </w:r>
            <w:r w:rsidR="00D14921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לרכוש דירה</w:t>
            </w:r>
            <w:r w:rsidR="0041715D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 בתנאים מועדפים</w:t>
            </w:r>
            <w:r w:rsidR="00D14921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לפי תכנית</w:t>
            </w:r>
            <w:r w:rsidRPr="0069168C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 מחיר למשתכן 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ו</w:t>
            </w:r>
            <w:r w:rsidRPr="0069168C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לא זכו בהגרלה במסגרת ה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תכנית, באמצעות מתן הטבות לרכישת דירה יד שנייה ב</w:t>
            </w:r>
            <w:r w:rsidR="009F411E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יישובי ה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פריפריה.</w:t>
            </w:r>
          </w:p>
        </w:tc>
      </w:tr>
      <w:tr w:rsidR="00B234B3" w:rsidRPr="0069168C" w14:paraId="6C1D118F" w14:textId="77777777" w:rsidTr="00075AD7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E886374" w14:textId="0B27DED5" w:rsidR="00B234B3" w:rsidRPr="0069168C" w:rsidRDefault="0028189A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הגדרות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15C1E00" w14:textId="77777777" w:rsidR="00B234B3" w:rsidRPr="0069168C" w:rsidRDefault="00B234B3" w:rsidP="00075AD7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7BD11" w14:textId="77777777" w:rsidR="00B234B3" w:rsidRPr="0069168C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בחוק זה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–</w:t>
            </w:r>
          </w:p>
        </w:tc>
      </w:tr>
      <w:tr w:rsidR="00B234B3" w:rsidRPr="0069168C" w14:paraId="38F4C783" w14:textId="77777777" w:rsidTr="00075AD7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23799BB" w14:textId="77777777" w:rsidR="00B234B3" w:rsidRPr="0069168C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A115B4D" w14:textId="77777777" w:rsidR="00B234B3" w:rsidRDefault="00B234B3" w:rsidP="00075AD7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84D93" w14:textId="77777777" w:rsidR="00B234B3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"דירה" </w:t>
            </w:r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– כהגדרתה בחוק הלוואות לדיור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, </w:t>
            </w:r>
            <w:proofErr w:type="spellStart"/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התשנ"ב</w:t>
            </w:r>
            <w:proofErr w:type="spellEnd"/>
            <w:r>
              <w:rPr>
                <w:rFonts w:ascii="Arial" w:eastAsia="Arial Unicode MS" w:hAnsi="Arial" w:cs="David" w:hint="eastAsia"/>
                <w:spacing w:val="0"/>
                <w:sz w:val="26"/>
                <w:szCs w:val="26"/>
                <w:rtl/>
              </w:rPr>
              <w:t>–1992</w:t>
            </w:r>
            <w:r>
              <w:rPr>
                <w:rStyle w:val="a5"/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footnoteReference w:id="2"/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;</w:t>
            </w:r>
          </w:p>
        </w:tc>
      </w:tr>
      <w:tr w:rsidR="00B234B3" w:rsidRPr="0069168C" w14:paraId="61B71B10" w14:textId="77777777" w:rsidTr="00075AD7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196AE87" w14:textId="77777777" w:rsidR="00B234B3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CB244E4" w14:textId="77777777" w:rsidR="00B234B3" w:rsidRDefault="00B234B3" w:rsidP="00075AD7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099C1E" w14:textId="1D0CECFB" w:rsidR="00B234B3" w:rsidRPr="00D17BC5" w:rsidRDefault="00B234B3" w:rsidP="009F411E">
            <w:pPr>
              <w:pStyle w:val="TableBlockOutdent"/>
              <w:rPr>
                <w:rtl/>
              </w:rPr>
            </w:pPr>
            <w:r w:rsidRPr="00D17BC5">
              <w:rPr>
                <w:rtl/>
              </w:rPr>
              <w:t xml:space="preserve">"דירה </w:t>
            </w:r>
            <w:r>
              <w:rPr>
                <w:rFonts w:hint="cs"/>
                <w:rtl/>
              </w:rPr>
              <w:t>יד שנייה</w:t>
            </w:r>
            <w:r w:rsidRPr="00D17BC5">
              <w:rPr>
                <w:rtl/>
              </w:rPr>
              <w:t xml:space="preserve">" </w:t>
            </w:r>
            <w:r w:rsidRPr="00D17BC5"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דירה </w:t>
            </w:r>
            <w:r w:rsidR="009F411E">
              <w:rPr>
                <w:rFonts w:hint="cs"/>
                <w:rtl/>
              </w:rPr>
              <w:t xml:space="preserve">הנרכשת ממי שאינו קבלן או </w:t>
            </w:r>
            <w:r w:rsidR="0028189A">
              <w:rPr>
                <w:rFonts w:hint="cs"/>
                <w:rtl/>
              </w:rPr>
              <w:t>חברת בנייה</w:t>
            </w:r>
            <w:r>
              <w:rPr>
                <w:rFonts w:hint="cs"/>
                <w:rtl/>
              </w:rPr>
              <w:t>;</w:t>
            </w:r>
          </w:p>
        </w:tc>
      </w:tr>
      <w:tr w:rsidR="00B234B3" w:rsidRPr="0069168C" w14:paraId="32FCB70B" w14:textId="77777777" w:rsidTr="00075AD7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7C60619" w14:textId="77777777" w:rsidR="00B234B3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2E4BCBB" w14:textId="77777777" w:rsidR="00B234B3" w:rsidRDefault="00B234B3" w:rsidP="00075AD7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92EFE" w14:textId="13EC2251" w:rsidR="00B234B3" w:rsidRPr="00D17BC5" w:rsidRDefault="00B234B3" w:rsidP="00075AD7">
            <w:pPr>
              <w:pStyle w:val="TableBlockOutdent"/>
              <w:rPr>
                <w:rtl/>
              </w:rPr>
            </w:pPr>
            <w:r w:rsidRPr="00D17BC5">
              <w:rPr>
                <w:rtl/>
              </w:rPr>
              <w:t>"</w:t>
            </w:r>
            <w:r w:rsidR="0041715D">
              <w:rPr>
                <w:rFonts w:hint="cs"/>
                <w:rtl/>
              </w:rPr>
              <w:t>מ</w:t>
            </w:r>
            <w:r w:rsidRPr="00D17BC5">
              <w:rPr>
                <w:rtl/>
              </w:rPr>
              <w:t>ח</w:t>
            </w:r>
            <w:r w:rsidR="0041715D">
              <w:rPr>
                <w:rFonts w:hint="cs"/>
                <w:rtl/>
              </w:rPr>
              <w:t>ו</w:t>
            </w:r>
            <w:r w:rsidRPr="00D17BC5">
              <w:rPr>
                <w:rtl/>
              </w:rPr>
              <w:t xml:space="preserve">סר דיור" </w:t>
            </w:r>
            <w:r w:rsidRPr="00D17BC5">
              <w:rPr>
                <w:rFonts w:hint="eastAsia"/>
                <w:rtl/>
              </w:rPr>
              <w:t>–</w:t>
            </w:r>
            <w:r w:rsidRPr="00D17BC5">
              <w:rPr>
                <w:rtl/>
              </w:rPr>
              <w:t xml:space="preserve"> יחיד או משפחה ש</w:t>
            </w:r>
            <w:r w:rsidR="0041715D">
              <w:rPr>
                <w:rFonts w:hint="cs"/>
                <w:rtl/>
              </w:rPr>
              <w:t>אין להם ו</w:t>
            </w:r>
            <w:r w:rsidRPr="00D17BC5">
              <w:rPr>
                <w:rtl/>
              </w:rPr>
              <w:t xml:space="preserve">לא היו להם זכויות כלשהן בדירה או בחלק מדירה </w:t>
            </w:r>
            <w:r>
              <w:rPr>
                <w:rFonts w:hint="cs"/>
                <w:rtl/>
              </w:rPr>
              <w:t>בשש השנים</w:t>
            </w:r>
            <w:r w:rsidRPr="00D17BC5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שקדמו</w:t>
            </w:r>
            <w:r w:rsidRPr="00D17BC5">
              <w:rPr>
                <w:rtl/>
              </w:rPr>
              <w:t xml:space="preserve"> להגשת הבקשה לזכאות במסגרת תכנית מחיר למשתכן;</w:t>
            </w:r>
          </w:p>
        </w:tc>
      </w:tr>
      <w:tr w:rsidR="00B234B3" w:rsidRPr="0069168C" w14:paraId="1B60204A" w14:textId="3ABA8AC1" w:rsidTr="00075AD7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406E2A3" w14:textId="6CD67635" w:rsidR="00B234B3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7313F30" w14:textId="7A81C82F" w:rsidR="00B234B3" w:rsidRDefault="00B234B3" w:rsidP="00075AD7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51E236" w14:textId="10F33D2E" w:rsidR="00B234B3" w:rsidRPr="00D17BC5" w:rsidRDefault="00B234B3" w:rsidP="00075AD7">
            <w:pPr>
              <w:pStyle w:val="TableBlockOutdent"/>
              <w:rPr>
                <w:rtl/>
              </w:rPr>
            </w:pPr>
            <w:r w:rsidRPr="00D17BC5">
              <w:rPr>
                <w:rtl/>
              </w:rPr>
              <w:t xml:space="preserve">"כללים" </w:t>
            </w:r>
            <w:r w:rsidRPr="00D17BC5">
              <w:rPr>
                <w:rFonts w:hint="eastAsia"/>
                <w:rtl/>
              </w:rPr>
              <w:t>–</w:t>
            </w:r>
            <w:r w:rsidRPr="00D17BC5">
              <w:rPr>
                <w:rtl/>
              </w:rPr>
              <w:t xml:space="preserve"> כללי</w:t>
            </w:r>
            <w:r w:rsidR="009A179B">
              <w:rPr>
                <w:rFonts w:hint="cs"/>
                <w:rtl/>
              </w:rPr>
              <w:t>ם</w:t>
            </w:r>
            <w:r w:rsidRPr="00D17BC5">
              <w:rPr>
                <w:rtl/>
              </w:rPr>
              <w:t xml:space="preserve"> ונהלי</w:t>
            </w:r>
            <w:r w:rsidR="009A179B">
              <w:rPr>
                <w:rFonts w:hint="cs"/>
                <w:rtl/>
              </w:rPr>
              <w:t>ם</w:t>
            </w:r>
            <w:r w:rsidRPr="00D17BC5">
              <w:rPr>
                <w:rtl/>
              </w:rPr>
              <w:t xml:space="preserve"> </w:t>
            </w:r>
            <w:r w:rsidR="009A179B">
              <w:rPr>
                <w:rFonts w:hint="cs"/>
                <w:rtl/>
              </w:rPr>
              <w:t xml:space="preserve">שקבעו </w:t>
            </w:r>
            <w:r w:rsidRPr="00D17BC5">
              <w:rPr>
                <w:rtl/>
              </w:rPr>
              <w:t>משרד הבינוי והשיכון ורשות מקרקעי ישראל לעניין תכנית מחיר למשתכן;</w:t>
            </w:r>
          </w:p>
        </w:tc>
      </w:tr>
      <w:tr w:rsidR="00B234B3" w:rsidRPr="0069168C" w14:paraId="756FECFF" w14:textId="77777777" w:rsidTr="00075AD7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1C3754C" w14:textId="77777777" w:rsidR="00B234B3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277CA36" w14:textId="77777777" w:rsidR="00B234B3" w:rsidRDefault="00B234B3" w:rsidP="00075AD7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55F25" w14:textId="35C36C11" w:rsidR="00B234B3" w:rsidRPr="00E26AD6" w:rsidRDefault="00B234B3" w:rsidP="009A179B">
            <w:pPr>
              <w:pStyle w:val="TableBlockOutdent"/>
              <w:rPr>
                <w:rtl/>
              </w:rPr>
            </w:pPr>
            <w:r w:rsidRPr="00E26AD6">
              <w:rPr>
                <w:rtl/>
              </w:rPr>
              <w:t>"</w:t>
            </w:r>
            <w:r w:rsidR="009A179B">
              <w:rPr>
                <w:rFonts w:hint="cs"/>
                <w:rtl/>
              </w:rPr>
              <w:t>יישובי ה</w:t>
            </w:r>
            <w:r w:rsidRPr="00E26AD6">
              <w:rPr>
                <w:rtl/>
              </w:rPr>
              <w:t xml:space="preserve">פריפריה" </w:t>
            </w:r>
            <w:r w:rsidRPr="00E26AD6">
              <w:rPr>
                <w:rFonts w:hint="eastAsia"/>
                <w:rtl/>
              </w:rPr>
              <w:t>–</w:t>
            </w:r>
            <w:r w:rsidRPr="00E26AD6">
              <w:rPr>
                <w:rtl/>
              </w:rPr>
              <w:t xml:space="preserve"> </w:t>
            </w:r>
            <w:r w:rsidRPr="00E26AD6">
              <w:rPr>
                <w:rFonts w:hint="eastAsia"/>
                <w:rtl/>
              </w:rPr>
              <w:t>יישובים</w:t>
            </w:r>
            <w:r w:rsidRPr="00E26AD6">
              <w:rPr>
                <w:rtl/>
              </w:rPr>
              <w:t xml:space="preserve"> </w:t>
            </w:r>
            <w:r w:rsidRPr="00E26AD6">
              <w:rPr>
                <w:rFonts w:hint="eastAsia"/>
                <w:rtl/>
              </w:rPr>
              <w:t>שהממשלה</w:t>
            </w:r>
            <w:r>
              <w:rPr>
                <w:rFonts w:hint="cs"/>
                <w:rtl/>
              </w:rPr>
              <w:t xml:space="preserve"> קבעה</w:t>
            </w:r>
            <w:r w:rsidRPr="00E26AD6">
              <w:rPr>
                <w:rtl/>
              </w:rPr>
              <w:t xml:space="preserve"> </w:t>
            </w:r>
            <w:r w:rsidRPr="00E26AD6">
              <w:rPr>
                <w:rFonts w:hint="eastAsia"/>
                <w:rtl/>
              </w:rPr>
              <w:t>שהם</w:t>
            </w:r>
            <w:r w:rsidRPr="00E26AD6">
              <w:rPr>
                <w:rtl/>
              </w:rPr>
              <w:t xml:space="preserve"> </w:t>
            </w:r>
            <w:r w:rsidRPr="00E26AD6">
              <w:rPr>
                <w:rFonts w:hint="eastAsia"/>
                <w:rtl/>
              </w:rPr>
              <w:t>בפריפריה</w:t>
            </w:r>
            <w:r>
              <w:rPr>
                <w:rFonts w:hint="cs"/>
                <w:rtl/>
              </w:rPr>
              <w:t xml:space="preserve"> לעניין תכנית מחיר למשתכן</w:t>
            </w:r>
            <w:r w:rsidRPr="00E26AD6">
              <w:rPr>
                <w:rtl/>
              </w:rPr>
              <w:t xml:space="preserve"> </w:t>
            </w:r>
            <w:r w:rsidRPr="00E26AD6">
              <w:rPr>
                <w:rFonts w:hint="eastAsia"/>
                <w:rtl/>
              </w:rPr>
              <w:t>והרוכשים</w:t>
            </w:r>
            <w:r w:rsidRPr="00E26AD6">
              <w:rPr>
                <w:rtl/>
              </w:rPr>
              <w:t xml:space="preserve"> </w:t>
            </w:r>
            <w:r w:rsidRPr="00E26AD6">
              <w:rPr>
                <w:rFonts w:hint="eastAsia"/>
                <w:rtl/>
              </w:rPr>
              <w:t>דירה</w:t>
            </w:r>
            <w:r w:rsidRPr="00E26AD6">
              <w:rPr>
                <w:rtl/>
              </w:rPr>
              <w:t xml:space="preserve"> </w:t>
            </w:r>
            <w:r w:rsidRPr="00E26AD6">
              <w:rPr>
                <w:rFonts w:hint="eastAsia"/>
                <w:rtl/>
              </w:rPr>
              <w:t>במסגרת</w:t>
            </w:r>
            <w:r w:rsidRPr="00E26AD6">
              <w:rPr>
                <w:rtl/>
              </w:rPr>
              <w:t xml:space="preserve"> </w:t>
            </w:r>
            <w:r w:rsidRPr="00E26AD6">
              <w:rPr>
                <w:rFonts w:hint="eastAsia"/>
                <w:rtl/>
              </w:rPr>
              <w:t>התכנית</w:t>
            </w:r>
            <w:r w:rsidRPr="00E26AD6">
              <w:rPr>
                <w:rtl/>
              </w:rPr>
              <w:t xml:space="preserve"> </w:t>
            </w:r>
            <w:r w:rsidRPr="00E26AD6">
              <w:rPr>
                <w:rFonts w:hint="eastAsia"/>
                <w:rtl/>
              </w:rPr>
              <w:t>באותם</w:t>
            </w:r>
            <w:r w:rsidRPr="00E26AD6">
              <w:rPr>
                <w:rtl/>
              </w:rPr>
              <w:t xml:space="preserve"> </w:t>
            </w:r>
            <w:r w:rsidRPr="00E26AD6">
              <w:rPr>
                <w:rFonts w:hint="eastAsia"/>
                <w:rtl/>
              </w:rPr>
              <w:t>יישובים</w:t>
            </w:r>
            <w:r w:rsidRPr="00E26AD6">
              <w:rPr>
                <w:rtl/>
              </w:rPr>
              <w:t xml:space="preserve"> </w:t>
            </w:r>
            <w:r w:rsidRPr="00E26AD6">
              <w:rPr>
                <w:rFonts w:hint="eastAsia"/>
                <w:rtl/>
              </w:rPr>
              <w:t>זכאים</w:t>
            </w:r>
            <w:r w:rsidRPr="00E26AD6">
              <w:rPr>
                <w:rtl/>
              </w:rPr>
              <w:t xml:space="preserve"> </w:t>
            </w:r>
            <w:r w:rsidRPr="00E26AD6">
              <w:rPr>
                <w:rFonts w:hint="eastAsia"/>
                <w:rtl/>
              </w:rPr>
              <w:t>למענק</w:t>
            </w:r>
            <w:r w:rsidR="00135EC6">
              <w:rPr>
                <w:rFonts w:hint="cs"/>
                <w:rtl/>
              </w:rPr>
              <w:t xml:space="preserve"> </w:t>
            </w:r>
            <w:r w:rsidR="009A179B">
              <w:rPr>
                <w:rFonts w:hint="cs"/>
                <w:rtl/>
              </w:rPr>
              <w:t>לפי התכנית האמורה</w:t>
            </w:r>
            <w:r>
              <w:rPr>
                <w:rFonts w:hint="cs"/>
                <w:rtl/>
              </w:rPr>
              <w:t>;</w:t>
            </w:r>
          </w:p>
        </w:tc>
      </w:tr>
      <w:tr w:rsidR="00B234B3" w:rsidRPr="0069168C" w14:paraId="0401539F" w14:textId="77777777" w:rsidTr="00075AD7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1E3FBAE" w14:textId="77777777" w:rsidR="00B234B3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23B2499" w14:textId="77777777" w:rsidR="00B234B3" w:rsidRDefault="00B234B3" w:rsidP="00075AD7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7A1A7" w14:textId="381F0D80" w:rsidR="00B234B3" w:rsidRPr="00D17BC5" w:rsidRDefault="00B234B3" w:rsidP="009A179B">
            <w:pPr>
              <w:pStyle w:val="TableBlockOutdent"/>
              <w:rPr>
                <w:rtl/>
              </w:rPr>
            </w:pPr>
            <w:r w:rsidRPr="00D17BC5">
              <w:rPr>
                <w:rtl/>
              </w:rPr>
              <w:t xml:space="preserve">"תכנית מחיר למשתכן" </w:t>
            </w:r>
            <w:r w:rsidRPr="00D17BC5"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תכנית של משרד הבינוי והשיכון, משרד האוצר ורשות מקרקעי ישראל, להקצאה של קרקעות ליזמים ולקבלנים, </w:t>
            </w:r>
            <w:r w:rsidR="00AA61B7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 xml:space="preserve">במסגרתה </w:t>
            </w:r>
            <w:r w:rsidR="009A179B">
              <w:rPr>
                <w:rFonts w:hint="cs"/>
                <w:rtl/>
              </w:rPr>
              <w:t xml:space="preserve">ניתנת </w:t>
            </w:r>
            <w:r>
              <w:rPr>
                <w:rFonts w:hint="cs"/>
                <w:rtl/>
              </w:rPr>
              <w:t xml:space="preserve">קרקע </w:t>
            </w:r>
            <w:r w:rsidR="00913905">
              <w:rPr>
                <w:rFonts w:hint="cs"/>
                <w:rtl/>
              </w:rPr>
              <w:t xml:space="preserve">לבניית דירות </w:t>
            </w:r>
            <w:r>
              <w:rPr>
                <w:rFonts w:hint="cs"/>
                <w:rtl/>
              </w:rPr>
              <w:t xml:space="preserve">ליזם או לקבלן שמציע את המחיר הנמוך ביותר שיגבה עבור הדירות מזכאים לרכישת הדירות </w:t>
            </w:r>
            <w:r w:rsidR="009A179B">
              <w:rPr>
                <w:rFonts w:hint="cs"/>
                <w:rtl/>
              </w:rPr>
              <w:t>לפי הכללים</w:t>
            </w:r>
            <w:r>
              <w:rPr>
                <w:rFonts w:hint="cs"/>
                <w:rtl/>
              </w:rPr>
              <w:t>;</w:t>
            </w:r>
          </w:p>
        </w:tc>
      </w:tr>
      <w:tr w:rsidR="00B234B3" w:rsidRPr="0069168C" w14:paraId="5484FCA1" w14:textId="77777777" w:rsidTr="00075AD7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1D1A4DC" w14:textId="1A55C563" w:rsidR="00B234B3" w:rsidRDefault="00B234B3" w:rsidP="00913905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lastRenderedPageBreak/>
              <w:t xml:space="preserve">הטבות לזכאי תכנית מחיר למשתכן בעת רכישת דירה </w:t>
            </w:r>
            <w:r w:rsidR="00913905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יד שנייה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22AE5BB9" w14:textId="77777777" w:rsidR="00B234B3" w:rsidRDefault="00B234B3" w:rsidP="00075AD7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018CD8" w14:textId="07DAA4AF" w:rsidR="00B234B3" w:rsidRDefault="00B234B3" w:rsidP="00436396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(א)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ab/>
            </w:r>
            <w:r w:rsidR="00913905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מ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ח</w:t>
            </w:r>
            <w:r w:rsidR="00913905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ו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סר דיור הזכאי לרכישת דירה בתכנית מחיר למשתכן לפי הכללים שהשתתף בהגרלה </w:t>
            </w:r>
            <w:r w:rsidR="000A5685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שנערכה לפי התכנית 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לגבי דירות הממוקמות ביישוב </w:t>
            </w:r>
            <w:r w:rsidR="00F51D71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מיישובי </w:t>
            </w:r>
            <w:r w:rsidR="000A5685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ה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פריפריה ולא זכה בה, יהיה זכאי להטבות המפורטות בסעיף קטן (ב) </w:t>
            </w:r>
            <w:r w:rsidR="00F51D71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לשם 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רכישת דירה יד שנייה באותו יישוב, ובלבד שמחיר הדירה </w:t>
            </w:r>
            <w:r w:rsidR="00436396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שירכוש</w:t>
            </w:r>
            <w:r w:rsidR="00AA61B7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 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לא יעלה על </w:t>
            </w:r>
            <w:r w:rsidR="00F51D71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ה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מחיר </w:t>
            </w:r>
            <w:r w:rsidR="00F51D71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המרבי </w:t>
            </w:r>
            <w:r w:rsidR="005B6AD0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של דירה </w:t>
            </w:r>
            <w:r w:rsidR="00F51D71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מ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הדירות שלגביהן נערכה ההגרלה.</w:t>
            </w:r>
          </w:p>
        </w:tc>
      </w:tr>
      <w:tr w:rsidR="00B234B3" w:rsidRPr="0069168C" w14:paraId="16FBD398" w14:textId="77777777" w:rsidTr="00075AD7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CDC953E" w14:textId="77777777" w:rsidR="00B234B3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right="57" w:firstLine="0"/>
              <w:jc w:val="left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5561C75" w14:textId="77777777" w:rsidR="00B234B3" w:rsidRDefault="00B234B3" w:rsidP="00075AD7">
            <w:pPr>
              <w:pStyle w:val="TableText"/>
              <w:rPr>
                <w:rtl/>
              </w:rPr>
            </w:pPr>
          </w:p>
        </w:tc>
        <w:tc>
          <w:tcPr>
            <w:tcW w:w="71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E5911" w14:textId="628BE447" w:rsidR="00B234B3" w:rsidRDefault="00B234B3" w:rsidP="00075AD7">
            <w:pPr>
              <w:keepLines/>
              <w:tabs>
                <w:tab w:val="left" w:pos="624"/>
                <w:tab w:val="left" w:pos="1247"/>
              </w:tabs>
              <w:snapToGrid w:val="0"/>
              <w:spacing w:before="0" w:line="360" w:lineRule="auto"/>
              <w:ind w:firstLine="0"/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</w:pP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(ב)</w:t>
            </w:r>
            <w:r>
              <w:rPr>
                <w:rFonts w:ascii="Arial" w:eastAsia="Arial Unicode MS" w:hAnsi="Arial" w:cs="David"/>
                <w:spacing w:val="0"/>
                <w:sz w:val="26"/>
                <w:szCs w:val="26"/>
                <w:rtl/>
              </w:rPr>
              <w:tab/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ההטבות לזכאי שלא זכה בהגרלה לדירה הן</w:t>
            </w:r>
            <w:r w:rsidR="00F73466"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 xml:space="preserve"> כמפורט להלן</w:t>
            </w:r>
            <w:r>
              <w:rPr>
                <w:rFonts w:ascii="Arial" w:eastAsia="Arial Unicode MS" w:hAnsi="Arial" w:cs="David" w:hint="cs"/>
                <w:spacing w:val="0"/>
                <w:sz w:val="26"/>
                <w:szCs w:val="26"/>
                <w:rtl/>
              </w:rPr>
              <w:t>:</w:t>
            </w:r>
          </w:p>
        </w:tc>
      </w:tr>
      <w:tr w:rsidR="00B234B3" w14:paraId="657CC105" w14:textId="77777777" w:rsidTr="00075AD7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14:paraId="55F12FB4" w14:textId="77777777" w:rsidR="00B234B3" w:rsidRDefault="00B234B3" w:rsidP="00075AD7">
            <w:pPr>
              <w:pStyle w:val="TableSideHeading"/>
            </w:pPr>
          </w:p>
        </w:tc>
        <w:tc>
          <w:tcPr>
            <w:tcW w:w="624" w:type="dxa"/>
          </w:tcPr>
          <w:p w14:paraId="20C00327" w14:textId="77777777" w:rsidR="00B234B3" w:rsidRDefault="00B234B3" w:rsidP="00075AD7">
            <w:pPr>
              <w:pStyle w:val="TableText"/>
            </w:pPr>
          </w:p>
        </w:tc>
        <w:tc>
          <w:tcPr>
            <w:tcW w:w="624" w:type="dxa"/>
          </w:tcPr>
          <w:p w14:paraId="0145C531" w14:textId="77777777" w:rsidR="00B234B3" w:rsidRDefault="00B234B3" w:rsidP="00075AD7">
            <w:pPr>
              <w:pStyle w:val="TableText"/>
            </w:pPr>
          </w:p>
        </w:tc>
        <w:tc>
          <w:tcPr>
            <w:tcW w:w="6520" w:type="dxa"/>
            <w:gridSpan w:val="2"/>
          </w:tcPr>
          <w:p w14:paraId="6CAA89FE" w14:textId="77777777" w:rsidR="00B234B3" w:rsidRDefault="00B234B3" w:rsidP="00075AD7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מענק מהמדינה </w:t>
            </w:r>
            <w:r>
              <w:rPr>
                <w:rFonts w:hint="eastAsia"/>
                <w:rtl/>
              </w:rPr>
              <w:t>–</w:t>
            </w:r>
          </w:p>
        </w:tc>
      </w:tr>
      <w:tr w:rsidR="00B234B3" w14:paraId="75D4F710" w14:textId="77777777" w:rsidTr="00075AD7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14:paraId="7E05C9D5" w14:textId="77777777" w:rsidR="00B234B3" w:rsidRDefault="00B234B3" w:rsidP="00075AD7">
            <w:pPr>
              <w:pStyle w:val="TableSideHeading"/>
            </w:pPr>
          </w:p>
        </w:tc>
        <w:tc>
          <w:tcPr>
            <w:tcW w:w="624" w:type="dxa"/>
          </w:tcPr>
          <w:p w14:paraId="3F1CFB99" w14:textId="77777777" w:rsidR="00B234B3" w:rsidRDefault="00B234B3" w:rsidP="00075AD7">
            <w:pPr>
              <w:pStyle w:val="TableText"/>
            </w:pPr>
          </w:p>
        </w:tc>
        <w:tc>
          <w:tcPr>
            <w:tcW w:w="624" w:type="dxa"/>
          </w:tcPr>
          <w:p w14:paraId="55ECE2F0" w14:textId="77777777" w:rsidR="00B234B3" w:rsidRDefault="00B234B3" w:rsidP="00075AD7">
            <w:pPr>
              <w:pStyle w:val="TableText"/>
            </w:pPr>
          </w:p>
        </w:tc>
        <w:tc>
          <w:tcPr>
            <w:tcW w:w="624" w:type="dxa"/>
          </w:tcPr>
          <w:p w14:paraId="7BCB0087" w14:textId="77777777" w:rsidR="00B234B3" w:rsidRDefault="00B234B3" w:rsidP="00075AD7">
            <w:pPr>
              <w:pStyle w:val="TableText"/>
            </w:pPr>
          </w:p>
        </w:tc>
        <w:tc>
          <w:tcPr>
            <w:tcW w:w="5896" w:type="dxa"/>
          </w:tcPr>
          <w:p w14:paraId="35E03819" w14:textId="77777777" w:rsidR="00B234B3" w:rsidRDefault="00B234B3" w:rsidP="00075AD7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עבור דירה הנמצאת בקרקע שערכה אינו עולה על 50,000 שקלים חדשים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בסכום של</w:t>
            </w:r>
            <w:r>
              <w:rPr>
                <w:rFonts w:hint="eastAsia"/>
                <w:rtl/>
              </w:rPr>
              <w:t xml:space="preserve"> 60,000 שקלים חדשים;</w:t>
            </w:r>
          </w:p>
        </w:tc>
      </w:tr>
      <w:tr w:rsidR="00B234B3" w14:paraId="589FDBF5" w14:textId="77777777" w:rsidTr="00075AD7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14:paraId="061714CE" w14:textId="77777777" w:rsidR="00B234B3" w:rsidRDefault="00B234B3" w:rsidP="00075AD7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3E85DD35" w14:textId="77777777" w:rsidR="00B234B3" w:rsidRDefault="00B234B3" w:rsidP="00075AD7">
            <w:pPr>
              <w:pStyle w:val="TableText"/>
            </w:pPr>
          </w:p>
        </w:tc>
        <w:tc>
          <w:tcPr>
            <w:tcW w:w="624" w:type="dxa"/>
          </w:tcPr>
          <w:p w14:paraId="308400D6" w14:textId="77777777" w:rsidR="00B234B3" w:rsidRDefault="00B234B3" w:rsidP="00075AD7">
            <w:pPr>
              <w:pStyle w:val="TableText"/>
            </w:pPr>
          </w:p>
        </w:tc>
        <w:tc>
          <w:tcPr>
            <w:tcW w:w="624" w:type="dxa"/>
          </w:tcPr>
          <w:p w14:paraId="5320EFA0" w14:textId="77777777" w:rsidR="00B234B3" w:rsidRDefault="00B234B3" w:rsidP="00075AD7">
            <w:pPr>
              <w:pStyle w:val="TableText"/>
            </w:pPr>
          </w:p>
        </w:tc>
        <w:tc>
          <w:tcPr>
            <w:tcW w:w="5896" w:type="dxa"/>
          </w:tcPr>
          <w:p w14:paraId="3195BDD1" w14:textId="77777777" w:rsidR="00B234B3" w:rsidRDefault="00B234B3" w:rsidP="00075AD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עבור דירה הנמצאת בקרקע שערכה 50,001 שקלים חדשים ועד 100,000 שקלים חדשים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בסכום של</w:t>
            </w:r>
            <w:r>
              <w:rPr>
                <w:rFonts w:hint="eastAsia"/>
                <w:rtl/>
              </w:rPr>
              <w:t xml:space="preserve"> 40,000 שקלים חדשים;</w:t>
            </w:r>
          </w:p>
        </w:tc>
      </w:tr>
      <w:tr w:rsidR="00B234B3" w14:paraId="5124F57A" w14:textId="77777777" w:rsidTr="00075AD7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14:paraId="07C62877" w14:textId="77777777" w:rsidR="00B234B3" w:rsidRDefault="00B234B3" w:rsidP="00075AD7">
            <w:pPr>
              <w:pStyle w:val="TableSideHeading"/>
            </w:pPr>
          </w:p>
        </w:tc>
        <w:tc>
          <w:tcPr>
            <w:tcW w:w="624" w:type="dxa"/>
          </w:tcPr>
          <w:p w14:paraId="580B0444" w14:textId="77777777" w:rsidR="00B234B3" w:rsidRDefault="00B234B3" w:rsidP="00075AD7">
            <w:pPr>
              <w:pStyle w:val="TableText"/>
            </w:pPr>
          </w:p>
        </w:tc>
        <w:tc>
          <w:tcPr>
            <w:tcW w:w="624" w:type="dxa"/>
          </w:tcPr>
          <w:p w14:paraId="39AF96E5" w14:textId="77777777" w:rsidR="00B234B3" w:rsidRDefault="00B234B3" w:rsidP="00075AD7">
            <w:pPr>
              <w:pStyle w:val="TableText"/>
            </w:pPr>
          </w:p>
        </w:tc>
        <w:tc>
          <w:tcPr>
            <w:tcW w:w="6520" w:type="dxa"/>
            <w:gridSpan w:val="2"/>
          </w:tcPr>
          <w:p w14:paraId="203CA224" w14:textId="5AC18692" w:rsidR="00B234B3" w:rsidRDefault="00B234B3" w:rsidP="00F73466">
            <w:pPr>
              <w:pStyle w:val="TableBlock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הלוואה לדיור </w:t>
            </w:r>
            <w:r w:rsidR="00F73466">
              <w:rPr>
                <w:rFonts w:hint="cs"/>
                <w:rtl/>
              </w:rPr>
              <w:t xml:space="preserve">שייתן תאגיד בנקאי </w:t>
            </w:r>
            <w:r>
              <w:rPr>
                <w:rFonts w:hint="cs"/>
                <w:rtl/>
              </w:rPr>
              <w:t>בשיעור של עד תשעים אחוזים מ</w:t>
            </w:r>
            <w:r w:rsidR="00F73466">
              <w:rPr>
                <w:rFonts w:hint="cs"/>
                <w:rtl/>
              </w:rPr>
              <w:t xml:space="preserve">מחיר </w:t>
            </w:r>
            <w:r>
              <w:rPr>
                <w:rFonts w:hint="cs"/>
                <w:rtl/>
              </w:rPr>
              <w:t>הדירה.</w:t>
            </w:r>
          </w:p>
        </w:tc>
      </w:tr>
      <w:tr w:rsidR="00B234B3" w14:paraId="28564605" w14:textId="77777777" w:rsidTr="00075AD7">
        <w:tblPrEx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70" w:type="dxa"/>
          </w:tcPr>
          <w:p w14:paraId="11EA1E38" w14:textId="77777777" w:rsidR="00B234B3" w:rsidRDefault="00B234B3" w:rsidP="00075AD7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ביצוע</w:t>
            </w:r>
          </w:p>
        </w:tc>
        <w:tc>
          <w:tcPr>
            <w:tcW w:w="624" w:type="dxa"/>
          </w:tcPr>
          <w:p w14:paraId="5D95F61A" w14:textId="77777777" w:rsidR="00B234B3" w:rsidRDefault="00B234B3" w:rsidP="00075AD7">
            <w:pPr>
              <w:pStyle w:val="TableText"/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144" w:type="dxa"/>
            <w:gridSpan w:val="3"/>
          </w:tcPr>
          <w:p w14:paraId="5D0F2048" w14:textId="4D5469A0" w:rsidR="00B234B3" w:rsidRDefault="00B234B3" w:rsidP="00075AD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שר </w:t>
            </w:r>
            <w:r w:rsidR="00F73466">
              <w:rPr>
                <w:rFonts w:hint="cs"/>
                <w:rtl/>
              </w:rPr>
              <w:t xml:space="preserve">הבינוי והשיכון </w:t>
            </w:r>
            <w:r>
              <w:rPr>
                <w:rFonts w:hint="cs"/>
                <w:rtl/>
              </w:rPr>
              <w:t>ממונה על ביצוע חוק זה.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1C01638C" w14:textId="69313205" w:rsidR="00B234B3" w:rsidRPr="00D17BC5" w:rsidRDefault="00B234B3" w:rsidP="003A478F">
      <w:pPr>
        <w:pStyle w:val="Hesber"/>
        <w:spacing w:line="276" w:lineRule="auto"/>
        <w:rPr>
          <w:rtl/>
        </w:rPr>
      </w:pPr>
      <w:r w:rsidRPr="00D17BC5">
        <w:rPr>
          <w:rtl/>
        </w:rPr>
        <w:t xml:space="preserve">יוקר מחירי הדירות </w:t>
      </w:r>
      <w:r>
        <w:rPr>
          <w:rFonts w:hint="cs"/>
          <w:rtl/>
        </w:rPr>
        <w:t>היא</w:t>
      </w:r>
      <w:r w:rsidRPr="00D17BC5">
        <w:rPr>
          <w:rtl/>
        </w:rPr>
        <w:t xml:space="preserve"> הבעיה הגדולה ביותר של זוגות צעירים ובודדים, </w:t>
      </w:r>
      <w:r w:rsidR="00F73466">
        <w:rPr>
          <w:rFonts w:hint="cs"/>
          <w:rtl/>
        </w:rPr>
        <w:t>מ</w:t>
      </w:r>
      <w:r w:rsidRPr="00D17BC5">
        <w:rPr>
          <w:rtl/>
        </w:rPr>
        <w:t>ח</w:t>
      </w:r>
      <w:r w:rsidR="00F73466">
        <w:rPr>
          <w:rFonts w:hint="cs"/>
          <w:rtl/>
        </w:rPr>
        <w:t>ו</w:t>
      </w:r>
      <w:r w:rsidRPr="00D17BC5">
        <w:rPr>
          <w:rtl/>
        </w:rPr>
        <w:t>סרי דיור</w:t>
      </w:r>
      <w:r>
        <w:rPr>
          <w:rFonts w:hint="cs"/>
          <w:rtl/>
        </w:rPr>
        <w:t>,</w:t>
      </w:r>
      <w:r w:rsidRPr="00D17BC5">
        <w:rPr>
          <w:rtl/>
        </w:rPr>
        <w:t xml:space="preserve"> החיים בישראל. ממשלת ישראל החליטה על צעד חשוב ראשון במאבק בתופעה</w:t>
      </w:r>
      <w:r w:rsidR="00557AA4">
        <w:rPr>
          <w:rFonts w:hint="cs"/>
          <w:rtl/>
        </w:rPr>
        <w:t xml:space="preserve"> בהפעלת</w:t>
      </w:r>
      <w:r>
        <w:rPr>
          <w:rFonts w:hint="cs"/>
          <w:rtl/>
        </w:rPr>
        <w:t xml:space="preserve"> תכנית</w:t>
      </w:r>
      <w:r w:rsidRPr="00D17BC5">
        <w:rPr>
          <w:rtl/>
        </w:rPr>
        <w:t xml:space="preserve"> מחיר למשתכן. ה</w:t>
      </w:r>
      <w:r>
        <w:rPr>
          <w:rFonts w:hint="cs"/>
          <w:rtl/>
        </w:rPr>
        <w:t>תכנית</w:t>
      </w:r>
      <w:r w:rsidRPr="00D17BC5">
        <w:rPr>
          <w:rtl/>
        </w:rPr>
        <w:t xml:space="preserve"> מציע</w:t>
      </w:r>
      <w:r>
        <w:rPr>
          <w:rFonts w:hint="cs"/>
          <w:rtl/>
        </w:rPr>
        <w:t>ה</w:t>
      </w:r>
      <w:r w:rsidRPr="00D17BC5">
        <w:rPr>
          <w:rtl/>
        </w:rPr>
        <w:t xml:space="preserve"> ל</w:t>
      </w:r>
      <w:r>
        <w:rPr>
          <w:rFonts w:hint="cs"/>
          <w:rtl/>
        </w:rPr>
        <w:t>מי שמשרד הבינוי והשיכון קבע לגביו כי הוא זכאי לכך וזכה בהגרלה שערך המשרד</w:t>
      </w:r>
      <w:r w:rsidRPr="00D17BC5">
        <w:rPr>
          <w:rtl/>
        </w:rPr>
        <w:t xml:space="preserve"> לרכוש דירה חדשה</w:t>
      </w:r>
      <w:r>
        <w:rPr>
          <w:rFonts w:hint="cs"/>
          <w:rtl/>
        </w:rPr>
        <w:t xml:space="preserve"> במיזמי בנייה, שנבנו על קרקעות שהמדינה שיווקה במסגרת התכנית, </w:t>
      </w:r>
      <w:r w:rsidRPr="00D17BC5">
        <w:rPr>
          <w:rtl/>
        </w:rPr>
        <w:t xml:space="preserve">במחיר מוזל ממחיר השוק. בנוסף, קבעה הממשלה כי הזוכים בדירות במסגרת הפרויקט בפריפריה ייהנו ממענק שנע בין </w:t>
      </w:r>
      <w:r>
        <w:rPr>
          <w:rFonts w:hint="cs"/>
          <w:rtl/>
        </w:rPr>
        <w:t>40,000 שקלים חדשים ל-60,000 שקלים חדשים, בהתאם לשווי הקרקע עליה נבנתה הדירה</w:t>
      </w:r>
      <w:r w:rsidRPr="00D17BC5">
        <w:rPr>
          <w:rtl/>
        </w:rPr>
        <w:t xml:space="preserve">. </w:t>
      </w:r>
    </w:p>
    <w:p w14:paraId="7C54B12C" w14:textId="1F58DF15" w:rsidR="00B234B3" w:rsidRPr="00D17BC5" w:rsidRDefault="00B234B3" w:rsidP="003A478F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>קביעת הזכאות לדירה</w:t>
      </w:r>
      <w:r w:rsidRPr="00D17BC5">
        <w:rPr>
          <w:rtl/>
        </w:rPr>
        <w:t xml:space="preserve"> במסגרת ה</w:t>
      </w:r>
      <w:r>
        <w:rPr>
          <w:rFonts w:hint="cs"/>
          <w:rtl/>
        </w:rPr>
        <w:t>תכנית</w:t>
      </w:r>
      <w:r w:rsidRPr="00D17BC5">
        <w:rPr>
          <w:rtl/>
        </w:rPr>
        <w:t xml:space="preserve"> נעשית באמצעות הגרלה, וההערכה היא </w:t>
      </w:r>
      <w:r>
        <w:rPr>
          <w:rFonts w:hint="cs"/>
          <w:rtl/>
        </w:rPr>
        <w:t>שמשתתף אחד מכל חמישה זכאים המשתתפים בהגרלה יזכה בה, קרי שיעור סיכויי הזכייה בהגרלה הוא 20 אחוזים בלבד</w:t>
      </w:r>
      <w:r w:rsidRPr="00D17BC5">
        <w:rPr>
          <w:rtl/>
        </w:rPr>
        <w:t>.</w:t>
      </w:r>
    </w:p>
    <w:p w14:paraId="581DD17B" w14:textId="0317F3B6" w:rsidR="00B234B3" w:rsidRPr="00D17BC5" w:rsidRDefault="00B234B3" w:rsidP="003A478F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>ב</w:t>
      </w:r>
      <w:r w:rsidRPr="00D17BC5">
        <w:rPr>
          <w:rtl/>
        </w:rPr>
        <w:t xml:space="preserve">הצעת חוק </w:t>
      </w:r>
      <w:r>
        <w:rPr>
          <w:rFonts w:hint="cs"/>
          <w:rtl/>
        </w:rPr>
        <w:t>זו</w:t>
      </w:r>
      <w:r w:rsidRPr="00D17BC5">
        <w:rPr>
          <w:rtl/>
        </w:rPr>
        <w:t xml:space="preserve"> </w:t>
      </w:r>
      <w:r>
        <w:rPr>
          <w:rFonts w:hint="cs"/>
          <w:rtl/>
        </w:rPr>
        <w:t>מוצע</w:t>
      </w:r>
      <w:r w:rsidRPr="00D17BC5">
        <w:rPr>
          <w:rtl/>
        </w:rPr>
        <w:t xml:space="preserve"> מסלול נוסף לאותם זכאים שהוגדרו על פי </w:t>
      </w:r>
      <w:r>
        <w:rPr>
          <w:rFonts w:hint="cs"/>
          <w:rtl/>
        </w:rPr>
        <w:t>אמות המידה</w:t>
      </w:r>
      <w:r w:rsidRPr="00D17BC5">
        <w:rPr>
          <w:rtl/>
        </w:rPr>
        <w:t xml:space="preserve"> שקבעה הממשלה ב</w:t>
      </w:r>
      <w:r>
        <w:rPr>
          <w:rFonts w:hint="cs"/>
          <w:rtl/>
        </w:rPr>
        <w:t>תכנית</w:t>
      </w:r>
      <w:r w:rsidRPr="00D17BC5">
        <w:rPr>
          <w:rtl/>
        </w:rPr>
        <w:t xml:space="preserve"> מחיר למשתכן, ולא זכו</w:t>
      </w:r>
      <w:r>
        <w:rPr>
          <w:rFonts w:hint="cs"/>
          <w:rtl/>
        </w:rPr>
        <w:t xml:space="preserve"> בהגרלה</w:t>
      </w:r>
      <w:r w:rsidRPr="00D17BC5">
        <w:rPr>
          <w:rtl/>
        </w:rPr>
        <w:t>. על פי הצעת החוק, מסלול נוסף זה יעניק לאותם זכאים שלא זכו בהגרלה אפשרות לרכוש דיר</w:t>
      </w:r>
      <w:r>
        <w:rPr>
          <w:rFonts w:hint="cs"/>
          <w:rtl/>
        </w:rPr>
        <w:t xml:space="preserve">ה </w:t>
      </w:r>
      <w:r w:rsidR="00F73466">
        <w:rPr>
          <w:rFonts w:hint="cs"/>
          <w:rtl/>
        </w:rPr>
        <w:t>יד שנייה</w:t>
      </w:r>
      <w:r w:rsidR="00F73466" w:rsidRPr="00D17BC5">
        <w:rPr>
          <w:rtl/>
        </w:rPr>
        <w:t xml:space="preserve"> </w:t>
      </w:r>
      <w:r w:rsidRPr="00D17BC5">
        <w:rPr>
          <w:rtl/>
        </w:rPr>
        <w:t xml:space="preserve">ביישוב </w:t>
      </w:r>
      <w:r w:rsidR="006F27A9">
        <w:rPr>
          <w:rFonts w:hint="cs"/>
          <w:rtl/>
        </w:rPr>
        <w:t>ש</w:t>
      </w:r>
      <w:r w:rsidRPr="00D17BC5">
        <w:rPr>
          <w:rtl/>
        </w:rPr>
        <w:t xml:space="preserve">בו </w:t>
      </w:r>
      <w:r w:rsidR="006F27A9">
        <w:rPr>
          <w:rFonts w:hint="cs"/>
          <w:rtl/>
        </w:rPr>
        <w:t>השתתפו</w:t>
      </w:r>
      <w:r w:rsidR="006F27A9" w:rsidRPr="00D17BC5">
        <w:rPr>
          <w:rtl/>
        </w:rPr>
        <w:t xml:space="preserve"> </w:t>
      </w:r>
      <w:r w:rsidR="006F27A9">
        <w:rPr>
          <w:rFonts w:hint="cs"/>
          <w:rtl/>
        </w:rPr>
        <w:t>ב</w:t>
      </w:r>
      <w:r w:rsidRPr="00D17BC5">
        <w:rPr>
          <w:rtl/>
        </w:rPr>
        <w:t>הגרלה,</w:t>
      </w:r>
      <w:r>
        <w:rPr>
          <w:rFonts w:hint="cs"/>
          <w:rtl/>
        </w:rPr>
        <w:t xml:space="preserve"> </w:t>
      </w:r>
      <w:r w:rsidRPr="00D17BC5">
        <w:rPr>
          <w:rtl/>
        </w:rPr>
        <w:t>תוך מימוש הטבת המענק בגובה שבין</w:t>
      </w:r>
      <w:r>
        <w:rPr>
          <w:rFonts w:hint="cs"/>
          <w:rtl/>
        </w:rPr>
        <w:t xml:space="preserve"> 40,000 ל-60,000</w:t>
      </w:r>
      <w:r w:rsidRPr="00D17BC5">
        <w:rPr>
          <w:rtl/>
        </w:rPr>
        <w:t xml:space="preserve"> </w:t>
      </w:r>
      <w:r>
        <w:rPr>
          <w:rFonts w:hint="cs"/>
          <w:rtl/>
        </w:rPr>
        <w:t>שקלים חדשים</w:t>
      </w:r>
      <w:r w:rsidRPr="00D17BC5">
        <w:rPr>
          <w:rtl/>
        </w:rPr>
        <w:t xml:space="preserve">. בנוסף, </w:t>
      </w:r>
      <w:r w:rsidR="00F73466">
        <w:rPr>
          <w:rFonts w:hint="cs"/>
          <w:rtl/>
        </w:rPr>
        <w:t>מוצע</w:t>
      </w:r>
      <w:r w:rsidRPr="00D17BC5">
        <w:rPr>
          <w:rtl/>
        </w:rPr>
        <w:t xml:space="preserve"> ל</w:t>
      </w:r>
      <w:r>
        <w:rPr>
          <w:rFonts w:hint="cs"/>
          <w:rtl/>
        </w:rPr>
        <w:t>אפשר</w:t>
      </w:r>
      <w:r w:rsidRPr="00D17BC5">
        <w:rPr>
          <w:rtl/>
        </w:rPr>
        <w:t xml:space="preserve"> לאותם זכאים</w:t>
      </w:r>
      <w:r>
        <w:rPr>
          <w:rFonts w:hint="cs"/>
          <w:rtl/>
        </w:rPr>
        <w:t xml:space="preserve"> לקבל</w:t>
      </w:r>
      <w:r w:rsidRPr="00D17BC5">
        <w:rPr>
          <w:rtl/>
        </w:rPr>
        <w:t xml:space="preserve"> </w:t>
      </w:r>
      <w:r>
        <w:rPr>
          <w:rFonts w:hint="cs"/>
          <w:rtl/>
        </w:rPr>
        <w:t xml:space="preserve">הלוואה לדיור מתאגיד בנקאי בשיעור של עד </w:t>
      </w:r>
      <w:r w:rsidRPr="00D17BC5">
        <w:rPr>
          <w:rtl/>
        </w:rPr>
        <w:t xml:space="preserve">90 </w:t>
      </w:r>
      <w:r>
        <w:rPr>
          <w:rFonts w:hint="cs"/>
          <w:rtl/>
        </w:rPr>
        <w:t xml:space="preserve">אחוזים </w:t>
      </w:r>
      <w:r w:rsidRPr="00D17BC5">
        <w:rPr>
          <w:rtl/>
        </w:rPr>
        <w:t xml:space="preserve">ממחיר הדירה </w:t>
      </w:r>
      <w:r w:rsidR="00F73466">
        <w:rPr>
          <w:rFonts w:hint="cs"/>
          <w:rtl/>
        </w:rPr>
        <w:t xml:space="preserve">יד שנייה </w:t>
      </w:r>
      <w:r>
        <w:rPr>
          <w:rFonts w:hint="cs"/>
          <w:rtl/>
        </w:rPr>
        <w:t>ש</w:t>
      </w:r>
      <w:r w:rsidRPr="00D17BC5">
        <w:rPr>
          <w:rtl/>
        </w:rPr>
        <w:t>ירכשו.</w:t>
      </w:r>
    </w:p>
    <w:p w14:paraId="7F6961CB" w14:textId="34139F62" w:rsidR="00E13C27" w:rsidRDefault="00B234B3" w:rsidP="003A478F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המסלול הנוסף המוצע בהצעת חוק זו </w:t>
      </w:r>
      <w:r w:rsidR="00436396">
        <w:rPr>
          <w:rFonts w:hint="cs"/>
          <w:rtl/>
        </w:rPr>
        <w:t>יאפשר</w:t>
      </w:r>
      <w:r w:rsidR="00436396" w:rsidRPr="00D17BC5">
        <w:rPr>
          <w:rtl/>
        </w:rPr>
        <w:t xml:space="preserve"> </w:t>
      </w:r>
      <w:proofErr w:type="spellStart"/>
      <w:r>
        <w:rPr>
          <w:rFonts w:hint="cs"/>
          <w:rtl/>
        </w:rPr>
        <w:t>ל</w:t>
      </w:r>
      <w:r w:rsidRPr="00D17BC5">
        <w:rPr>
          <w:rtl/>
        </w:rPr>
        <w:t>מחוסרי</w:t>
      </w:r>
      <w:proofErr w:type="spellEnd"/>
      <w:r w:rsidRPr="00D17BC5">
        <w:rPr>
          <w:rtl/>
        </w:rPr>
        <w:t xml:space="preserve"> דיור ל</w:t>
      </w:r>
      <w:r>
        <w:rPr>
          <w:rFonts w:hint="cs"/>
          <w:rtl/>
        </w:rPr>
        <w:t>י</w:t>
      </w:r>
      <w:r w:rsidRPr="00D17BC5">
        <w:rPr>
          <w:rtl/>
        </w:rPr>
        <w:t>הנות מאופציה נוספת ובטוחה לרכישת דירה</w:t>
      </w:r>
      <w:r>
        <w:rPr>
          <w:rFonts w:hint="cs"/>
          <w:rtl/>
        </w:rPr>
        <w:t>, על ידי</w:t>
      </w:r>
      <w:r w:rsidRPr="00D17BC5">
        <w:rPr>
          <w:rtl/>
        </w:rPr>
        <w:t xml:space="preserve"> </w:t>
      </w:r>
      <w:r>
        <w:rPr>
          <w:rFonts w:hint="cs"/>
          <w:rtl/>
        </w:rPr>
        <w:t xml:space="preserve">רכישת דירה </w:t>
      </w:r>
      <w:r w:rsidR="005B526C">
        <w:rPr>
          <w:rFonts w:hint="cs"/>
          <w:rtl/>
        </w:rPr>
        <w:t>יד שנייה</w:t>
      </w:r>
      <w:r w:rsidR="005B526C" w:rsidRPr="00D17BC5">
        <w:rPr>
          <w:rtl/>
        </w:rPr>
        <w:t xml:space="preserve"> </w:t>
      </w:r>
      <w:r w:rsidRPr="00D17BC5">
        <w:rPr>
          <w:rtl/>
        </w:rPr>
        <w:t xml:space="preserve">באופן </w:t>
      </w:r>
      <w:proofErr w:type="spellStart"/>
      <w:r w:rsidRPr="00D17BC5">
        <w:rPr>
          <w:rtl/>
        </w:rPr>
        <w:t>מי</w:t>
      </w:r>
      <w:r w:rsidR="00436396">
        <w:rPr>
          <w:rFonts w:hint="cs"/>
          <w:rtl/>
        </w:rPr>
        <w:t>י</w:t>
      </w:r>
      <w:r w:rsidRPr="00D17BC5">
        <w:rPr>
          <w:rtl/>
        </w:rPr>
        <w:t>די</w:t>
      </w:r>
      <w:proofErr w:type="spellEnd"/>
      <w:r w:rsidRPr="00D17BC5">
        <w:rPr>
          <w:rtl/>
        </w:rPr>
        <w:t>, עם סבירות גבוהה ש</w:t>
      </w:r>
      <w:r w:rsidR="0038481D">
        <w:rPr>
          <w:rFonts w:hint="cs"/>
          <w:rtl/>
        </w:rPr>
        <w:t xml:space="preserve">דירה זו </w:t>
      </w:r>
      <w:r w:rsidRPr="00D17BC5">
        <w:rPr>
          <w:rtl/>
        </w:rPr>
        <w:t>תהיה אף גדולה יותר</w:t>
      </w:r>
      <w:r w:rsidR="006F27A9">
        <w:rPr>
          <w:rFonts w:hint="cs"/>
          <w:rtl/>
        </w:rPr>
        <w:t xml:space="preserve"> מהדירות המוצעות במסגרת </w:t>
      </w:r>
      <w:r w:rsidR="005B526C">
        <w:rPr>
          <w:rFonts w:hint="cs"/>
          <w:rtl/>
        </w:rPr>
        <w:t xml:space="preserve">תכנית </w:t>
      </w:r>
      <w:r w:rsidR="006F27A9">
        <w:rPr>
          <w:rFonts w:hint="cs"/>
          <w:rtl/>
        </w:rPr>
        <w:t>מחיר למשתכן</w:t>
      </w:r>
      <w:r w:rsidRPr="00D17BC5">
        <w:rPr>
          <w:rtl/>
        </w:rPr>
        <w:t xml:space="preserve"> </w:t>
      </w:r>
      <w:r w:rsidR="00442ACA">
        <w:rPr>
          <w:rFonts w:hint="cs"/>
          <w:rtl/>
        </w:rPr>
        <w:t>ו</w:t>
      </w:r>
      <w:r w:rsidRPr="00D17BC5">
        <w:rPr>
          <w:rtl/>
        </w:rPr>
        <w:t xml:space="preserve">במחיר נמוך יותר. הצעת חוק זו </w:t>
      </w:r>
      <w:r>
        <w:rPr>
          <w:rFonts w:hint="cs"/>
          <w:rtl/>
        </w:rPr>
        <w:t xml:space="preserve">עשויה </w:t>
      </w:r>
      <w:r w:rsidRPr="00D17BC5">
        <w:rPr>
          <w:rtl/>
        </w:rPr>
        <w:t>אף להו</w:t>
      </w:r>
      <w:r>
        <w:rPr>
          <w:rFonts w:hint="cs"/>
          <w:rtl/>
        </w:rPr>
        <w:t>זיל</w:t>
      </w:r>
      <w:r w:rsidRPr="00D17BC5">
        <w:rPr>
          <w:rtl/>
        </w:rPr>
        <w:t xml:space="preserve"> את </w:t>
      </w:r>
      <w:r w:rsidRPr="00D17BC5">
        <w:rPr>
          <w:rtl/>
        </w:rPr>
        <w:lastRenderedPageBreak/>
        <w:t>מחירי הדיור הגבוהים.</w:t>
      </w:r>
      <w:r w:rsidRPr="0069168C">
        <w:rPr>
          <w:rFonts w:hint="cs"/>
          <w:rtl/>
        </w:rPr>
        <w:t xml:space="preserve"> </w:t>
      </w:r>
    </w:p>
    <w:p w14:paraId="459EA461" w14:textId="6FD64253" w:rsidR="005A52C1" w:rsidRDefault="005A52C1" w:rsidP="003A478F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הצעת חוק </w:t>
      </w:r>
      <w:r w:rsidR="00436396">
        <w:rPr>
          <w:rFonts w:hint="cs"/>
          <w:rtl/>
        </w:rPr>
        <w:t xml:space="preserve">דומה בעיקרה </w:t>
      </w:r>
      <w:r>
        <w:rPr>
          <w:rFonts w:hint="cs"/>
          <w:rtl/>
        </w:rPr>
        <w:t>הונחה על שולחן הכנסת העשרים על ידי חבר הכנסת מאיר כהן וקבוצת חברי הכנסת (פ/3018/20).</w:t>
      </w:r>
    </w:p>
    <w:p w14:paraId="715506D9" w14:textId="77777777" w:rsidR="001377D3" w:rsidRDefault="001377D3" w:rsidP="003A478F">
      <w:pPr>
        <w:pStyle w:val="Hesber"/>
        <w:spacing w:line="240" w:lineRule="auto"/>
        <w:rPr>
          <w:rtl/>
        </w:rPr>
      </w:pPr>
    </w:p>
    <w:p w14:paraId="1574DC1A" w14:textId="77777777" w:rsidR="001377D3" w:rsidRPr="00D73212" w:rsidRDefault="001377D3" w:rsidP="003A478F">
      <w:pPr>
        <w:pStyle w:val="Hesber"/>
        <w:spacing w:line="240" w:lineRule="auto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3F2C9D6C" w14:textId="77777777" w:rsidR="001377D3" w:rsidRPr="00D73212" w:rsidRDefault="001377D3" w:rsidP="003A478F">
      <w:pPr>
        <w:pStyle w:val="Hesber"/>
        <w:spacing w:line="240" w:lineRule="auto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2DA0191E" w14:textId="77777777" w:rsidR="001377D3" w:rsidRPr="00D73212" w:rsidRDefault="001377D3" w:rsidP="003A478F">
      <w:pPr>
        <w:pStyle w:val="Hesber"/>
        <w:spacing w:line="240" w:lineRule="auto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71F0686A" w14:textId="77777777" w:rsidR="001377D3" w:rsidRPr="00317312" w:rsidRDefault="001377D3" w:rsidP="003A478F">
      <w:pPr>
        <w:pStyle w:val="Hesber"/>
        <w:spacing w:line="240" w:lineRule="auto"/>
      </w:pPr>
      <w:r>
        <w:rPr>
          <w:rFonts w:hint="cs"/>
          <w:color w:val="auto"/>
          <w:rtl/>
          <w:lang w:eastAsia="en-US"/>
        </w:rPr>
        <w:t>כ"ב באייר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ט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27.5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19  </w:t>
      </w:r>
      <w:bookmarkStart w:id="6" w:name="_GoBack"/>
      <w:bookmarkEnd w:id="6"/>
    </w:p>
    <w:sectPr w:rsidR="001377D3" w:rsidRPr="00317312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3A478F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0C8FBD2" w14:textId="77777777" w:rsidR="00B234B3" w:rsidRDefault="00B234B3" w:rsidP="00B234B3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התשנ"ב</w:t>
      </w:r>
      <w:proofErr w:type="spellEnd"/>
      <w:r>
        <w:rPr>
          <w:rFonts w:hint="cs"/>
          <w:rtl/>
        </w:rPr>
        <w:t>, עמ' 246.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A5685"/>
    <w:rsid w:val="00102B6B"/>
    <w:rsid w:val="001052D4"/>
    <w:rsid w:val="0010644B"/>
    <w:rsid w:val="001207F8"/>
    <w:rsid w:val="00121924"/>
    <w:rsid w:val="001279A8"/>
    <w:rsid w:val="00135EC6"/>
    <w:rsid w:val="001377D3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8189A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481D"/>
    <w:rsid w:val="00386E88"/>
    <w:rsid w:val="00396585"/>
    <w:rsid w:val="003A478F"/>
    <w:rsid w:val="003D6E38"/>
    <w:rsid w:val="003D74A0"/>
    <w:rsid w:val="004033D8"/>
    <w:rsid w:val="004073F0"/>
    <w:rsid w:val="00412A7D"/>
    <w:rsid w:val="00416B4D"/>
    <w:rsid w:val="0041715D"/>
    <w:rsid w:val="00417CFC"/>
    <w:rsid w:val="00436396"/>
    <w:rsid w:val="00442ACA"/>
    <w:rsid w:val="004A06DC"/>
    <w:rsid w:val="004B24ED"/>
    <w:rsid w:val="004B6625"/>
    <w:rsid w:val="004D2D82"/>
    <w:rsid w:val="004D3876"/>
    <w:rsid w:val="004E4552"/>
    <w:rsid w:val="004E6CDF"/>
    <w:rsid w:val="005241CD"/>
    <w:rsid w:val="00553C9D"/>
    <w:rsid w:val="00557AA4"/>
    <w:rsid w:val="00562A66"/>
    <w:rsid w:val="005A52C1"/>
    <w:rsid w:val="005B064E"/>
    <w:rsid w:val="005B526C"/>
    <w:rsid w:val="005B6AD0"/>
    <w:rsid w:val="005D51AE"/>
    <w:rsid w:val="005E0654"/>
    <w:rsid w:val="0062674B"/>
    <w:rsid w:val="006363B2"/>
    <w:rsid w:val="00644940"/>
    <w:rsid w:val="006818A9"/>
    <w:rsid w:val="00692DD0"/>
    <w:rsid w:val="006A2D81"/>
    <w:rsid w:val="006C1D0D"/>
    <w:rsid w:val="006F27A9"/>
    <w:rsid w:val="006F3AE0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29B"/>
    <w:rsid w:val="00814D92"/>
    <w:rsid w:val="0083181D"/>
    <w:rsid w:val="00843EB2"/>
    <w:rsid w:val="00865572"/>
    <w:rsid w:val="00874BBC"/>
    <w:rsid w:val="00892135"/>
    <w:rsid w:val="00894BCD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13905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179B"/>
    <w:rsid w:val="009A7257"/>
    <w:rsid w:val="009D2AFE"/>
    <w:rsid w:val="009D6E0A"/>
    <w:rsid w:val="009E1E33"/>
    <w:rsid w:val="009F411E"/>
    <w:rsid w:val="00A14672"/>
    <w:rsid w:val="00A26BD6"/>
    <w:rsid w:val="00A443CF"/>
    <w:rsid w:val="00A6611D"/>
    <w:rsid w:val="00A82CB7"/>
    <w:rsid w:val="00A942C1"/>
    <w:rsid w:val="00AA2F03"/>
    <w:rsid w:val="00AA61B7"/>
    <w:rsid w:val="00AC36F7"/>
    <w:rsid w:val="00AC63A4"/>
    <w:rsid w:val="00AD239E"/>
    <w:rsid w:val="00B10265"/>
    <w:rsid w:val="00B16A99"/>
    <w:rsid w:val="00B21211"/>
    <w:rsid w:val="00B234B3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4921"/>
    <w:rsid w:val="00D17774"/>
    <w:rsid w:val="00D63620"/>
    <w:rsid w:val="00D8410D"/>
    <w:rsid w:val="00D867D7"/>
    <w:rsid w:val="00DB7060"/>
    <w:rsid w:val="00DD7ECE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51D71"/>
    <w:rsid w:val="00F628D6"/>
    <w:rsid w:val="00F67051"/>
    <w:rsid w:val="00F73466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6B2E9BA3-3CC2-4DC2-BBAC-F6473C1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12882E-55E8-4B68-AAC0-590B7643D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73B80F-28DF-4BCB-8CF1-5483B810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612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15</cp:revision>
  <cp:lastPrinted>2019-05-22T09:26:00Z</cp:lastPrinted>
  <dcterms:created xsi:type="dcterms:W3CDTF">2015-04-20T09:58:00Z</dcterms:created>
  <dcterms:modified xsi:type="dcterms:W3CDTF">2019-05-22T10:55:00Z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2078757</vt:r8>
  </property>
</Properties>
</file>