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2078934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ואחת</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שלי יחימוביץ'</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פ/112/21</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F0E4F6" w:rsidR="00E13C27" w:rsidRPr="00F67051" w:rsidRDefault="00A443CF" w:rsidP="00120054">
      <w:pPr>
        <w:pStyle w:val="HeadHatzaotHok"/>
        <w:rPr>
          <w:rtl/>
        </w:rPr>
      </w:pPr>
      <w:bookmarkStart w:id="7" w:name="LGS_Subject"/>
      <w:r>
        <w:rPr>
          <w:rFonts w:hint="cs"/>
          <w:rtl/>
        </w:rPr>
        <w:t>הצעת חוק תגמול לנושאי משרה בתאגידים פיננסיים (אישור מיוחד ואי-התרת הוצאה לצורכי מס בשל תגמול חריג) (תיקון – הרחבת התחולה על חברות ציבוריות), התשע"ט</w:t>
      </w:r>
      <w:r w:rsidR="00120054">
        <w:rPr>
          <w:rFonts w:hint="eastAsia"/>
          <w:rtl/>
        </w:rPr>
        <w:t>–</w:t>
      </w:r>
      <w:bookmarkStart w:id="8" w:name="_GoBack"/>
      <w:bookmarkEnd w:id="8"/>
      <w:r>
        <w:rPr>
          <w:rFonts w:hint="cs"/>
          <w:rtl/>
        </w:rPr>
        <w:t>2019</w:t>
      </w:r>
      <w:bookmarkEnd w:id="7"/>
    </w:p>
    <w:tbl>
      <w:tblPr>
        <w:bidiVisual/>
        <w:tblW w:w="9636"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24"/>
        <w:gridCol w:w="5895"/>
      </w:tblGrid>
      <w:tr w:rsidR="00C7334A" w:rsidRPr="00EC1213" w14:paraId="267EE9FC" w14:textId="77777777" w:rsidTr="00884314">
        <w:trPr>
          <w:cantSplit/>
        </w:trPr>
        <w:tc>
          <w:tcPr>
            <w:tcW w:w="1869" w:type="dxa"/>
          </w:tcPr>
          <w:p w14:paraId="3FBF29AA" w14:textId="77777777" w:rsidR="00C7334A" w:rsidRDefault="00C7334A" w:rsidP="00884314">
            <w:pPr>
              <w:pStyle w:val="TableSideHeading"/>
            </w:pPr>
            <w:r w:rsidRPr="000F1A68">
              <w:rPr>
                <w:rtl/>
              </w:rPr>
              <w:t xml:space="preserve">תיקון שם החוק </w:t>
            </w:r>
          </w:p>
          <w:p w14:paraId="23AE30F5" w14:textId="77777777" w:rsidR="00C7334A" w:rsidRPr="001C11B3" w:rsidRDefault="00C7334A" w:rsidP="00884314"/>
        </w:tc>
        <w:tc>
          <w:tcPr>
            <w:tcW w:w="624" w:type="dxa"/>
          </w:tcPr>
          <w:p w14:paraId="6C98E471" w14:textId="77777777" w:rsidR="00C7334A" w:rsidRPr="000F1A68" w:rsidRDefault="00C7334A" w:rsidP="00884314">
            <w:pPr>
              <w:pStyle w:val="TableText"/>
              <w:jc w:val="both"/>
            </w:pPr>
            <w:r w:rsidRPr="000F1A68">
              <w:rPr>
                <w:rtl/>
              </w:rPr>
              <w:t>1.</w:t>
            </w:r>
          </w:p>
        </w:tc>
        <w:tc>
          <w:tcPr>
            <w:tcW w:w="7143" w:type="dxa"/>
            <w:gridSpan w:val="3"/>
          </w:tcPr>
          <w:p w14:paraId="4080C128" w14:textId="77777777" w:rsidR="00C7334A" w:rsidRPr="000F1A68" w:rsidRDefault="00C7334A" w:rsidP="00884314">
            <w:pPr>
              <w:pStyle w:val="TableBlock"/>
            </w:pPr>
            <w:r w:rsidRPr="000F1A68">
              <w:rPr>
                <w:rtl/>
              </w:rPr>
              <w:t>בחוק תגמול לנושאי משרה בתאגידים פיננסיים (אישור מיוחד ואי-התרת הוצאה לצורכי מס בשל תגמול חריג), התשע"ו</w:t>
            </w:r>
            <w:r>
              <w:rPr>
                <w:rFonts w:hint="cs"/>
                <w:rtl/>
              </w:rPr>
              <w:t>–</w:t>
            </w:r>
            <w:r w:rsidRPr="000F1A68">
              <w:rPr>
                <w:rtl/>
              </w:rPr>
              <w:t>2016</w:t>
            </w:r>
            <w:r>
              <w:rPr>
                <w:rStyle w:val="a5"/>
                <w:rtl/>
              </w:rPr>
              <w:footnoteReference w:id="2"/>
            </w:r>
            <w:r w:rsidRPr="000F1A68">
              <w:rPr>
                <w:rtl/>
              </w:rPr>
              <w:t xml:space="preserve"> (להלן – החוק העיקרי), בשם החוק, </w:t>
            </w:r>
            <w:r>
              <w:rPr>
                <w:rFonts w:hint="cs"/>
                <w:rtl/>
              </w:rPr>
              <w:t>אחרי</w:t>
            </w:r>
            <w:r w:rsidRPr="000F1A68">
              <w:rPr>
                <w:rtl/>
              </w:rPr>
              <w:t xml:space="preserve"> "בתאגידים </w:t>
            </w:r>
            <w:r>
              <w:rPr>
                <w:rtl/>
              </w:rPr>
              <w:t>פיננסיים" יבוא "ו</w:t>
            </w:r>
            <w:r>
              <w:rPr>
                <w:rFonts w:hint="cs"/>
                <w:rtl/>
              </w:rPr>
              <w:t>ב</w:t>
            </w:r>
            <w:r>
              <w:rPr>
                <w:rtl/>
              </w:rPr>
              <w:t>חברות ציבוריות</w:t>
            </w:r>
            <w:r w:rsidRPr="000F1A68">
              <w:rPr>
                <w:rtl/>
              </w:rPr>
              <w:t>"</w:t>
            </w:r>
            <w:r>
              <w:rPr>
                <w:rFonts w:hint="cs"/>
                <w:rtl/>
              </w:rPr>
              <w:t>.</w:t>
            </w:r>
          </w:p>
        </w:tc>
      </w:tr>
      <w:tr w:rsidR="00C7334A" w:rsidRPr="00EC1213" w14:paraId="7696DA09" w14:textId="77777777" w:rsidTr="00884314">
        <w:trPr>
          <w:cantSplit/>
        </w:trPr>
        <w:tc>
          <w:tcPr>
            <w:tcW w:w="1869" w:type="dxa"/>
          </w:tcPr>
          <w:p w14:paraId="6DE322D7" w14:textId="77777777" w:rsidR="00C7334A" w:rsidRPr="000F1A68" w:rsidRDefault="00C7334A" w:rsidP="00884314">
            <w:pPr>
              <w:pStyle w:val="TableSideHeading"/>
              <w:rPr>
                <w:rtl/>
              </w:rPr>
            </w:pPr>
            <w:r w:rsidRPr="000F1A68">
              <w:rPr>
                <w:rtl/>
              </w:rPr>
              <w:t>תיקון סעיף 1</w:t>
            </w:r>
          </w:p>
        </w:tc>
        <w:tc>
          <w:tcPr>
            <w:tcW w:w="624" w:type="dxa"/>
          </w:tcPr>
          <w:p w14:paraId="3DBC7815" w14:textId="77777777" w:rsidR="00C7334A" w:rsidRPr="000F1A68" w:rsidRDefault="00C7334A" w:rsidP="00884314">
            <w:pPr>
              <w:pStyle w:val="TableText"/>
              <w:jc w:val="both"/>
              <w:rPr>
                <w:rtl/>
              </w:rPr>
            </w:pPr>
            <w:r>
              <w:rPr>
                <w:rFonts w:hint="cs"/>
                <w:rtl/>
              </w:rPr>
              <w:t>2.</w:t>
            </w:r>
          </w:p>
        </w:tc>
        <w:tc>
          <w:tcPr>
            <w:tcW w:w="7143" w:type="dxa"/>
            <w:gridSpan w:val="3"/>
          </w:tcPr>
          <w:p w14:paraId="02579FB7" w14:textId="77777777" w:rsidR="00C7334A" w:rsidRPr="003835FD" w:rsidRDefault="00C7334A" w:rsidP="00884314">
            <w:pPr>
              <w:pStyle w:val="TableBlock"/>
              <w:rPr>
                <w:rtl/>
              </w:rPr>
            </w:pPr>
            <w:r w:rsidRPr="003835FD">
              <w:rPr>
                <w:rtl/>
              </w:rPr>
              <w:t xml:space="preserve">בסעיף 1 לחוק העיקרי, אחרי ההגדרה "תאגיד פיננסי" </w:t>
            </w:r>
            <w:r>
              <w:rPr>
                <w:rFonts w:hint="cs"/>
                <w:rtl/>
              </w:rPr>
              <w:t>יבוא:</w:t>
            </w:r>
            <w:r w:rsidRPr="003835FD">
              <w:rPr>
                <w:rtl/>
              </w:rPr>
              <w:t xml:space="preserve"> </w:t>
            </w:r>
          </w:p>
        </w:tc>
      </w:tr>
      <w:tr w:rsidR="00C7334A" w:rsidRPr="00EC1213" w14:paraId="21A10B3E" w14:textId="77777777" w:rsidTr="00884314">
        <w:trPr>
          <w:cantSplit/>
        </w:trPr>
        <w:tc>
          <w:tcPr>
            <w:tcW w:w="1869" w:type="dxa"/>
          </w:tcPr>
          <w:p w14:paraId="14379212" w14:textId="77777777" w:rsidR="00C7334A" w:rsidRPr="000F1A68" w:rsidRDefault="00C7334A" w:rsidP="00884314">
            <w:pPr>
              <w:pStyle w:val="TableSideHeading"/>
              <w:rPr>
                <w:rtl/>
              </w:rPr>
            </w:pPr>
          </w:p>
        </w:tc>
        <w:tc>
          <w:tcPr>
            <w:tcW w:w="624" w:type="dxa"/>
          </w:tcPr>
          <w:p w14:paraId="32EB7E41" w14:textId="77777777" w:rsidR="00C7334A" w:rsidRDefault="00C7334A" w:rsidP="00884314">
            <w:pPr>
              <w:pStyle w:val="TableText"/>
              <w:rPr>
                <w:rtl/>
              </w:rPr>
            </w:pPr>
          </w:p>
        </w:tc>
        <w:tc>
          <w:tcPr>
            <w:tcW w:w="7143" w:type="dxa"/>
            <w:gridSpan w:val="3"/>
          </w:tcPr>
          <w:p w14:paraId="0F57428E" w14:textId="77777777" w:rsidR="00C7334A" w:rsidRPr="003835FD" w:rsidRDefault="00C7334A" w:rsidP="00884314">
            <w:pPr>
              <w:pStyle w:val="TableBlockOutdent"/>
              <w:rPr>
                <w:rtl/>
              </w:rPr>
            </w:pPr>
            <w:r w:rsidRPr="003835FD">
              <w:rPr>
                <w:rtl/>
              </w:rPr>
              <w:t>"</w:t>
            </w:r>
            <w:r>
              <w:rPr>
                <w:rFonts w:hint="cs"/>
                <w:rtl/>
              </w:rPr>
              <w:t>"</w:t>
            </w:r>
            <w:r w:rsidRPr="003835FD">
              <w:rPr>
                <w:rtl/>
              </w:rPr>
              <w:t xml:space="preserve">חברה ציבורית – כהגדרתה בסעיף 1 לחוק חוק החברות, </w:t>
            </w:r>
            <w:r>
              <w:rPr>
                <w:rFonts w:hint="cs"/>
                <w:rtl/>
              </w:rPr>
              <w:t>ה</w:t>
            </w:r>
            <w:r w:rsidRPr="003835FD">
              <w:rPr>
                <w:rtl/>
              </w:rPr>
              <w:t>תשנ"ט</w:t>
            </w:r>
            <w:r>
              <w:rPr>
                <w:rFonts w:hint="cs"/>
                <w:rtl/>
              </w:rPr>
              <w:t>–</w:t>
            </w:r>
            <w:r w:rsidRPr="003835FD">
              <w:rPr>
                <w:rtl/>
              </w:rPr>
              <w:t>1999</w:t>
            </w:r>
            <w:r>
              <w:rPr>
                <w:rStyle w:val="a5"/>
                <w:rtl/>
              </w:rPr>
              <w:footnoteReference w:id="3"/>
            </w:r>
            <w:r w:rsidRPr="003835FD">
              <w:rPr>
                <w:rtl/>
              </w:rPr>
              <w:t xml:space="preserve">, </w:t>
            </w:r>
            <w:r w:rsidRPr="003835FD">
              <w:rPr>
                <w:rFonts w:hint="eastAsia"/>
                <w:rtl/>
              </w:rPr>
              <w:t>שאינה</w:t>
            </w:r>
            <w:r w:rsidRPr="003835FD">
              <w:rPr>
                <w:rtl/>
              </w:rPr>
              <w:t xml:space="preserve"> </w:t>
            </w:r>
            <w:r w:rsidRPr="003835FD">
              <w:rPr>
                <w:rFonts w:hint="eastAsia"/>
                <w:rtl/>
              </w:rPr>
              <w:t>תאגיד</w:t>
            </w:r>
            <w:r w:rsidRPr="003835FD">
              <w:rPr>
                <w:rtl/>
              </w:rPr>
              <w:t xml:space="preserve"> </w:t>
            </w:r>
            <w:r w:rsidRPr="003835FD">
              <w:rPr>
                <w:rFonts w:hint="eastAsia"/>
                <w:rtl/>
              </w:rPr>
              <w:t>פיננסי</w:t>
            </w:r>
            <w:r>
              <w:rPr>
                <w:rFonts w:hint="cs"/>
                <w:rtl/>
              </w:rPr>
              <w:t>;</w:t>
            </w:r>
            <w:r w:rsidRPr="003835FD">
              <w:rPr>
                <w:rtl/>
              </w:rPr>
              <w:t>"</w:t>
            </w:r>
            <w:r>
              <w:rPr>
                <w:rFonts w:hint="cs"/>
                <w:rtl/>
              </w:rPr>
              <w:t>.</w:t>
            </w:r>
          </w:p>
        </w:tc>
      </w:tr>
      <w:tr w:rsidR="00C7334A" w:rsidRPr="00EC1213" w14:paraId="2B4ED5FC" w14:textId="77777777" w:rsidTr="00884314">
        <w:trPr>
          <w:cantSplit/>
        </w:trPr>
        <w:tc>
          <w:tcPr>
            <w:tcW w:w="1869" w:type="dxa"/>
          </w:tcPr>
          <w:p w14:paraId="3A391234" w14:textId="77777777" w:rsidR="00C7334A" w:rsidRPr="000F1A68" w:rsidRDefault="00C7334A" w:rsidP="00884314">
            <w:pPr>
              <w:pStyle w:val="TableSideHeading"/>
            </w:pPr>
            <w:r>
              <w:rPr>
                <w:rFonts w:hint="cs"/>
                <w:rtl/>
              </w:rPr>
              <w:t>תיקון סעיף 2</w:t>
            </w:r>
          </w:p>
        </w:tc>
        <w:tc>
          <w:tcPr>
            <w:tcW w:w="624" w:type="dxa"/>
          </w:tcPr>
          <w:p w14:paraId="3A7C3613" w14:textId="77777777" w:rsidR="00C7334A" w:rsidRPr="000F1A68" w:rsidRDefault="00C7334A" w:rsidP="00884314">
            <w:pPr>
              <w:pStyle w:val="TableText"/>
              <w:jc w:val="both"/>
            </w:pPr>
            <w:r>
              <w:rPr>
                <w:rFonts w:hint="cs"/>
                <w:rtl/>
              </w:rPr>
              <w:t>3.</w:t>
            </w:r>
            <w:r w:rsidRPr="000F1A68">
              <w:rPr>
                <w:rtl/>
              </w:rPr>
              <w:t xml:space="preserve"> </w:t>
            </w:r>
          </w:p>
        </w:tc>
        <w:tc>
          <w:tcPr>
            <w:tcW w:w="7143" w:type="dxa"/>
            <w:gridSpan w:val="3"/>
          </w:tcPr>
          <w:p w14:paraId="4A3340EE" w14:textId="77777777" w:rsidR="00C7334A" w:rsidRPr="000F1A68" w:rsidRDefault="00C7334A" w:rsidP="00884314">
            <w:pPr>
              <w:pStyle w:val="TableBlock"/>
            </w:pPr>
            <w:r>
              <w:rPr>
                <w:rFonts w:hint="cs"/>
                <w:rtl/>
              </w:rPr>
              <w:t xml:space="preserve">בסעיף 2 לחוק העיקרי, </w:t>
            </w:r>
            <w:r w:rsidRPr="000F1A68">
              <w:rPr>
                <w:rtl/>
              </w:rPr>
              <w:t>בכל מקום</w:t>
            </w:r>
            <w:r>
              <w:rPr>
                <w:rFonts w:hint="cs"/>
                <w:rtl/>
              </w:rPr>
              <w:t>,</w:t>
            </w:r>
            <w:r w:rsidRPr="000F1A68">
              <w:rPr>
                <w:rtl/>
              </w:rPr>
              <w:t xml:space="preserve"> </w:t>
            </w:r>
            <w:r>
              <w:rPr>
                <w:rFonts w:hint="cs"/>
                <w:rtl/>
              </w:rPr>
              <w:t>אחרי</w:t>
            </w:r>
            <w:r w:rsidRPr="000F1A68">
              <w:rPr>
                <w:rtl/>
              </w:rPr>
              <w:t xml:space="preserve"> "בתאגיד פיננסי," יבוא "או </w:t>
            </w:r>
            <w:r>
              <w:rPr>
                <w:rFonts w:hint="cs"/>
                <w:rtl/>
              </w:rPr>
              <w:t>ב</w:t>
            </w:r>
            <w:r w:rsidRPr="000F1A68">
              <w:rPr>
                <w:rtl/>
              </w:rPr>
              <w:t>חברה ציבורית".</w:t>
            </w:r>
          </w:p>
        </w:tc>
      </w:tr>
      <w:tr w:rsidR="00C7334A" w:rsidRPr="00EC1213" w14:paraId="310417A5" w14:textId="77777777" w:rsidTr="00884314">
        <w:trPr>
          <w:cantSplit/>
        </w:trPr>
        <w:tc>
          <w:tcPr>
            <w:tcW w:w="1869" w:type="dxa"/>
          </w:tcPr>
          <w:p w14:paraId="0A73F121" w14:textId="77777777" w:rsidR="00C7334A" w:rsidRPr="000F1A68" w:rsidDel="00A5336D" w:rsidRDefault="00C7334A" w:rsidP="00884314">
            <w:pPr>
              <w:pStyle w:val="TableSideHeading"/>
              <w:rPr>
                <w:rtl/>
              </w:rPr>
            </w:pPr>
            <w:r>
              <w:rPr>
                <w:rFonts w:hint="cs"/>
                <w:rtl/>
              </w:rPr>
              <w:t>תיקון סעיף 3</w:t>
            </w:r>
          </w:p>
        </w:tc>
        <w:tc>
          <w:tcPr>
            <w:tcW w:w="624" w:type="dxa"/>
          </w:tcPr>
          <w:p w14:paraId="1CF62488" w14:textId="77777777" w:rsidR="00C7334A" w:rsidRPr="000F1A68" w:rsidRDefault="00C7334A" w:rsidP="00884314">
            <w:pPr>
              <w:pStyle w:val="TableText"/>
              <w:jc w:val="both"/>
              <w:rPr>
                <w:rtl/>
              </w:rPr>
            </w:pPr>
            <w:r>
              <w:rPr>
                <w:rFonts w:hint="cs"/>
                <w:rtl/>
              </w:rPr>
              <w:t>4.</w:t>
            </w:r>
          </w:p>
        </w:tc>
        <w:tc>
          <w:tcPr>
            <w:tcW w:w="7143" w:type="dxa"/>
            <w:gridSpan w:val="3"/>
          </w:tcPr>
          <w:p w14:paraId="29E428F5" w14:textId="77777777" w:rsidR="00C7334A" w:rsidRPr="000F1A68" w:rsidDel="00A5336D" w:rsidRDefault="00C7334A" w:rsidP="00884314">
            <w:pPr>
              <w:pStyle w:val="TableBlock"/>
              <w:rPr>
                <w:rtl/>
              </w:rPr>
            </w:pPr>
            <w:r>
              <w:rPr>
                <w:rFonts w:hint="cs"/>
                <w:rtl/>
              </w:rPr>
              <w:t>בסעיף 3 לחוק העיקרי, בכל מקום, אחרי "בתאגיד פיננסי" יבוא "או בחברה ציבורית".</w:t>
            </w:r>
          </w:p>
        </w:tc>
      </w:tr>
      <w:tr w:rsidR="00C7334A" w:rsidRPr="00EC1213" w14:paraId="279E0924" w14:textId="77777777" w:rsidTr="00884314">
        <w:trPr>
          <w:cantSplit/>
        </w:trPr>
        <w:tc>
          <w:tcPr>
            <w:tcW w:w="1869" w:type="dxa"/>
          </w:tcPr>
          <w:p w14:paraId="050BEA37" w14:textId="77777777" w:rsidR="00C7334A" w:rsidRPr="000F1A68" w:rsidDel="00A5336D" w:rsidRDefault="00C7334A" w:rsidP="00884314">
            <w:pPr>
              <w:pStyle w:val="TableSideHeading"/>
              <w:rPr>
                <w:rtl/>
              </w:rPr>
            </w:pPr>
            <w:r>
              <w:rPr>
                <w:rFonts w:hint="cs"/>
                <w:rtl/>
              </w:rPr>
              <w:t>תיקון פקודת מס הכנסה</w:t>
            </w:r>
          </w:p>
        </w:tc>
        <w:tc>
          <w:tcPr>
            <w:tcW w:w="624" w:type="dxa"/>
          </w:tcPr>
          <w:p w14:paraId="3524E838" w14:textId="77777777" w:rsidR="00C7334A" w:rsidRPr="000F1A68" w:rsidDel="00A5336D" w:rsidRDefault="00C7334A" w:rsidP="00884314">
            <w:pPr>
              <w:pStyle w:val="TableText"/>
              <w:jc w:val="both"/>
              <w:rPr>
                <w:rtl/>
              </w:rPr>
            </w:pPr>
            <w:r>
              <w:rPr>
                <w:rFonts w:hint="cs"/>
                <w:rtl/>
              </w:rPr>
              <w:t>5.</w:t>
            </w:r>
          </w:p>
        </w:tc>
        <w:tc>
          <w:tcPr>
            <w:tcW w:w="7143" w:type="dxa"/>
            <w:gridSpan w:val="3"/>
          </w:tcPr>
          <w:p w14:paraId="63ED7493" w14:textId="658A289F" w:rsidR="00C7334A" w:rsidRPr="000F1A68" w:rsidDel="00A5336D" w:rsidRDefault="00C7334A" w:rsidP="00195DF2">
            <w:pPr>
              <w:pStyle w:val="TableBlockOutdent"/>
            </w:pPr>
            <w:r>
              <w:rPr>
                <w:rFonts w:hint="cs"/>
                <w:rtl/>
              </w:rPr>
              <w:t>בפקודת מס הכנסה</w:t>
            </w:r>
            <w:r>
              <w:rPr>
                <w:rStyle w:val="a5"/>
                <w:rtl/>
              </w:rPr>
              <w:footnoteReference w:id="4"/>
            </w:r>
            <w:r>
              <w:rPr>
                <w:rFonts w:hint="cs"/>
                <w:rtl/>
              </w:rPr>
              <w:t xml:space="preserve"> </w:t>
            </w:r>
            <w:r w:rsidR="00195DF2">
              <w:rPr>
                <w:rFonts w:hint="eastAsia"/>
                <w:rtl/>
              </w:rPr>
              <w:t>–</w:t>
            </w:r>
          </w:p>
        </w:tc>
      </w:tr>
      <w:tr w:rsidR="00C7334A" w14:paraId="7BE1275F" w14:textId="77777777" w:rsidTr="00884314">
        <w:trPr>
          <w:cantSplit/>
        </w:trPr>
        <w:tc>
          <w:tcPr>
            <w:tcW w:w="1869" w:type="dxa"/>
          </w:tcPr>
          <w:p w14:paraId="74D16678" w14:textId="77777777" w:rsidR="00C7334A" w:rsidRDefault="00C7334A" w:rsidP="00884314">
            <w:pPr>
              <w:pStyle w:val="TableSideHeading"/>
            </w:pPr>
          </w:p>
        </w:tc>
        <w:tc>
          <w:tcPr>
            <w:tcW w:w="624" w:type="dxa"/>
          </w:tcPr>
          <w:p w14:paraId="2054F2DF" w14:textId="77777777" w:rsidR="00C7334A" w:rsidRDefault="00C7334A" w:rsidP="00884314">
            <w:pPr>
              <w:pStyle w:val="TableText"/>
            </w:pPr>
          </w:p>
        </w:tc>
        <w:tc>
          <w:tcPr>
            <w:tcW w:w="7143" w:type="dxa"/>
            <w:gridSpan w:val="3"/>
          </w:tcPr>
          <w:p w14:paraId="75F6106D" w14:textId="77777777" w:rsidR="00C7334A" w:rsidRPr="000A324B" w:rsidRDefault="00C7334A" w:rsidP="00884314">
            <w:pPr>
              <w:pStyle w:val="TableBlock"/>
              <w:rPr>
                <w:rtl/>
              </w:rPr>
            </w:pPr>
            <w:r>
              <w:rPr>
                <w:rFonts w:hint="cs"/>
                <w:rtl/>
              </w:rPr>
              <w:t>(1)</w:t>
            </w:r>
            <w:r>
              <w:rPr>
                <w:rtl/>
              </w:rPr>
              <w:tab/>
            </w:r>
            <w:r>
              <w:rPr>
                <w:rFonts w:hint="cs"/>
                <w:rtl/>
              </w:rPr>
              <w:t>בסעיף 32(17), בכל מקום, אחרי "בתאגיד פיננסי" יבוא "או בחברה ציבורית";</w:t>
            </w:r>
          </w:p>
        </w:tc>
      </w:tr>
      <w:tr w:rsidR="00C7334A" w14:paraId="2AF1BAB4" w14:textId="77777777" w:rsidTr="00884314">
        <w:trPr>
          <w:cantSplit/>
        </w:trPr>
        <w:tc>
          <w:tcPr>
            <w:tcW w:w="1869" w:type="dxa"/>
          </w:tcPr>
          <w:p w14:paraId="07B0586F" w14:textId="77777777" w:rsidR="00C7334A" w:rsidRDefault="00C7334A" w:rsidP="00884314">
            <w:pPr>
              <w:pStyle w:val="TableSideHeading"/>
            </w:pPr>
          </w:p>
        </w:tc>
        <w:tc>
          <w:tcPr>
            <w:tcW w:w="624" w:type="dxa"/>
          </w:tcPr>
          <w:p w14:paraId="133D439D" w14:textId="77777777" w:rsidR="00C7334A" w:rsidRDefault="00C7334A" w:rsidP="00884314">
            <w:pPr>
              <w:pStyle w:val="TableText"/>
            </w:pPr>
          </w:p>
        </w:tc>
        <w:tc>
          <w:tcPr>
            <w:tcW w:w="7143" w:type="dxa"/>
            <w:gridSpan w:val="3"/>
          </w:tcPr>
          <w:p w14:paraId="305794BC" w14:textId="77777777" w:rsidR="00C7334A" w:rsidRDefault="00C7334A" w:rsidP="00884314">
            <w:pPr>
              <w:pStyle w:val="TableBlock"/>
              <w:rPr>
                <w:rtl/>
              </w:rPr>
            </w:pPr>
            <w:r>
              <w:rPr>
                <w:rFonts w:hint="cs"/>
                <w:rtl/>
              </w:rPr>
              <w:t>(2)</w:t>
            </w:r>
            <w:r>
              <w:rPr>
                <w:rtl/>
              </w:rPr>
              <w:tab/>
            </w:r>
            <w:r>
              <w:rPr>
                <w:rFonts w:hint="cs"/>
                <w:rtl/>
              </w:rPr>
              <w:t xml:space="preserve">בסעיף 141ב </w:t>
            </w:r>
            <w:r>
              <w:rPr>
                <w:rFonts w:hint="eastAsia"/>
                <w:rtl/>
              </w:rPr>
              <w:t>–</w:t>
            </w:r>
            <w:r>
              <w:rPr>
                <w:rFonts w:hint="cs"/>
                <w:rtl/>
              </w:rPr>
              <w:t xml:space="preserve"> </w:t>
            </w:r>
          </w:p>
        </w:tc>
      </w:tr>
      <w:tr w:rsidR="00C7334A" w14:paraId="3425F4AE" w14:textId="77777777" w:rsidTr="00884314">
        <w:trPr>
          <w:cantSplit/>
        </w:trPr>
        <w:tc>
          <w:tcPr>
            <w:tcW w:w="1869" w:type="dxa"/>
          </w:tcPr>
          <w:p w14:paraId="16944D08" w14:textId="77777777" w:rsidR="00C7334A" w:rsidRDefault="00C7334A" w:rsidP="00884314">
            <w:pPr>
              <w:pStyle w:val="TableSideHeading"/>
            </w:pPr>
          </w:p>
        </w:tc>
        <w:tc>
          <w:tcPr>
            <w:tcW w:w="624" w:type="dxa"/>
          </w:tcPr>
          <w:p w14:paraId="525BE3E0" w14:textId="77777777" w:rsidR="00C7334A" w:rsidRDefault="00C7334A" w:rsidP="00884314">
            <w:pPr>
              <w:pStyle w:val="TableText"/>
            </w:pPr>
          </w:p>
        </w:tc>
        <w:tc>
          <w:tcPr>
            <w:tcW w:w="624" w:type="dxa"/>
          </w:tcPr>
          <w:p w14:paraId="2A41FC84" w14:textId="77777777" w:rsidR="00C7334A" w:rsidRDefault="00C7334A" w:rsidP="00884314">
            <w:pPr>
              <w:pStyle w:val="TableText"/>
            </w:pPr>
          </w:p>
        </w:tc>
        <w:tc>
          <w:tcPr>
            <w:tcW w:w="6519" w:type="dxa"/>
            <w:gridSpan w:val="2"/>
          </w:tcPr>
          <w:p w14:paraId="40811C42" w14:textId="77777777" w:rsidR="00C7334A" w:rsidRDefault="00C7334A" w:rsidP="00884314">
            <w:pPr>
              <w:pStyle w:val="TableBlock"/>
              <w:rPr>
                <w:rtl/>
              </w:rPr>
            </w:pPr>
            <w:r>
              <w:rPr>
                <w:rFonts w:hint="cs"/>
                <w:rtl/>
              </w:rPr>
              <w:t>(א)</w:t>
            </w:r>
            <w:r>
              <w:rPr>
                <w:rtl/>
              </w:rPr>
              <w:tab/>
            </w:r>
            <w:r>
              <w:rPr>
                <w:rFonts w:hint="cs"/>
                <w:rtl/>
              </w:rPr>
              <w:t>בסעיף קטן (א), בכל מקום, אחרי "תאגיד פיננסי" יבוא "או חברה ציבורית";</w:t>
            </w:r>
          </w:p>
        </w:tc>
      </w:tr>
      <w:tr w:rsidR="00C7334A" w14:paraId="7B24CCEC" w14:textId="77777777" w:rsidTr="00884314">
        <w:trPr>
          <w:cantSplit/>
        </w:trPr>
        <w:tc>
          <w:tcPr>
            <w:tcW w:w="1869" w:type="dxa"/>
          </w:tcPr>
          <w:p w14:paraId="2F2895D9" w14:textId="77777777" w:rsidR="00C7334A" w:rsidRDefault="00C7334A" w:rsidP="00884314">
            <w:pPr>
              <w:pStyle w:val="TableSideHeading"/>
            </w:pPr>
          </w:p>
        </w:tc>
        <w:tc>
          <w:tcPr>
            <w:tcW w:w="624" w:type="dxa"/>
          </w:tcPr>
          <w:p w14:paraId="4309691E" w14:textId="77777777" w:rsidR="00C7334A" w:rsidRDefault="00C7334A" w:rsidP="00884314">
            <w:pPr>
              <w:pStyle w:val="TableText"/>
            </w:pPr>
          </w:p>
        </w:tc>
        <w:tc>
          <w:tcPr>
            <w:tcW w:w="624" w:type="dxa"/>
          </w:tcPr>
          <w:p w14:paraId="5B128215" w14:textId="77777777" w:rsidR="00C7334A" w:rsidRDefault="00C7334A" w:rsidP="00884314">
            <w:pPr>
              <w:pStyle w:val="TableText"/>
            </w:pPr>
          </w:p>
        </w:tc>
        <w:tc>
          <w:tcPr>
            <w:tcW w:w="6519" w:type="dxa"/>
            <w:gridSpan w:val="2"/>
          </w:tcPr>
          <w:p w14:paraId="701545D4" w14:textId="77777777" w:rsidR="00C7334A" w:rsidRDefault="00C7334A" w:rsidP="00884314">
            <w:pPr>
              <w:pStyle w:val="TableBlock"/>
              <w:rPr>
                <w:rtl/>
              </w:rPr>
            </w:pPr>
            <w:r>
              <w:rPr>
                <w:rFonts w:hint="cs"/>
                <w:rtl/>
              </w:rPr>
              <w:t>(ב)</w:t>
            </w:r>
            <w:r>
              <w:rPr>
                <w:rtl/>
              </w:rPr>
              <w:tab/>
            </w:r>
            <w:r>
              <w:rPr>
                <w:rFonts w:hint="cs"/>
                <w:rtl/>
              </w:rPr>
              <w:t>בסעיף קטן (ב), אחרי "לתאגיד הפיננסי" יבוא "או לחברה הציבורית";</w:t>
            </w:r>
          </w:p>
        </w:tc>
      </w:tr>
      <w:tr w:rsidR="00C7334A" w14:paraId="363C2606" w14:textId="77777777" w:rsidTr="00884314">
        <w:trPr>
          <w:cantSplit/>
        </w:trPr>
        <w:tc>
          <w:tcPr>
            <w:tcW w:w="1869" w:type="dxa"/>
          </w:tcPr>
          <w:p w14:paraId="4DD68420" w14:textId="77777777" w:rsidR="00C7334A" w:rsidRDefault="00C7334A" w:rsidP="00884314">
            <w:pPr>
              <w:pStyle w:val="TableSideHeading"/>
            </w:pPr>
          </w:p>
        </w:tc>
        <w:tc>
          <w:tcPr>
            <w:tcW w:w="624" w:type="dxa"/>
          </w:tcPr>
          <w:p w14:paraId="3997AC59" w14:textId="77777777" w:rsidR="00C7334A" w:rsidRDefault="00C7334A" w:rsidP="00884314">
            <w:pPr>
              <w:pStyle w:val="TableText"/>
            </w:pPr>
          </w:p>
        </w:tc>
        <w:tc>
          <w:tcPr>
            <w:tcW w:w="624" w:type="dxa"/>
          </w:tcPr>
          <w:p w14:paraId="0ABB9B51" w14:textId="77777777" w:rsidR="00C7334A" w:rsidRDefault="00C7334A" w:rsidP="00884314">
            <w:pPr>
              <w:pStyle w:val="TableText"/>
            </w:pPr>
          </w:p>
        </w:tc>
        <w:tc>
          <w:tcPr>
            <w:tcW w:w="6519" w:type="dxa"/>
            <w:gridSpan w:val="2"/>
          </w:tcPr>
          <w:p w14:paraId="5A4222C1" w14:textId="77777777" w:rsidR="00C7334A" w:rsidRPr="000A324B" w:rsidRDefault="00C7334A" w:rsidP="00884314">
            <w:pPr>
              <w:pStyle w:val="TableBlock"/>
              <w:rPr>
                <w:rtl/>
              </w:rPr>
            </w:pPr>
            <w:r>
              <w:rPr>
                <w:rFonts w:hint="cs"/>
                <w:rtl/>
              </w:rPr>
              <w:t>(ג)</w:t>
            </w:r>
            <w:r>
              <w:rPr>
                <w:rtl/>
              </w:rPr>
              <w:tab/>
            </w:r>
            <w:r>
              <w:rPr>
                <w:rFonts w:hint="cs"/>
                <w:rtl/>
              </w:rPr>
              <w:t>בסעיף קטן (ד), במקום ההגדרה ""תאגיד פיננסי" ו"תאגיד שליטה"" יבוא:</w:t>
            </w:r>
          </w:p>
        </w:tc>
      </w:tr>
      <w:tr w:rsidR="00C7334A" w14:paraId="4CFD3396" w14:textId="77777777" w:rsidTr="00884314">
        <w:trPr>
          <w:cantSplit/>
          <w:trHeight w:val="60"/>
        </w:trPr>
        <w:tc>
          <w:tcPr>
            <w:tcW w:w="1869" w:type="dxa"/>
          </w:tcPr>
          <w:p w14:paraId="3C8B7AD6" w14:textId="77777777" w:rsidR="00C7334A" w:rsidRDefault="00C7334A" w:rsidP="00884314">
            <w:pPr>
              <w:pStyle w:val="TableSideHeading"/>
            </w:pPr>
          </w:p>
        </w:tc>
        <w:tc>
          <w:tcPr>
            <w:tcW w:w="624" w:type="dxa"/>
          </w:tcPr>
          <w:p w14:paraId="4DF44898" w14:textId="77777777" w:rsidR="00C7334A" w:rsidRDefault="00C7334A" w:rsidP="00884314">
            <w:pPr>
              <w:pStyle w:val="TableText"/>
            </w:pPr>
          </w:p>
        </w:tc>
        <w:tc>
          <w:tcPr>
            <w:tcW w:w="624" w:type="dxa"/>
          </w:tcPr>
          <w:p w14:paraId="2F91DBCB" w14:textId="77777777" w:rsidR="00C7334A" w:rsidRDefault="00C7334A" w:rsidP="00884314">
            <w:pPr>
              <w:pStyle w:val="TableText"/>
            </w:pPr>
          </w:p>
        </w:tc>
        <w:tc>
          <w:tcPr>
            <w:tcW w:w="624" w:type="dxa"/>
          </w:tcPr>
          <w:p w14:paraId="09A9B5CB" w14:textId="77777777" w:rsidR="00C7334A" w:rsidRDefault="00C7334A" w:rsidP="00884314">
            <w:pPr>
              <w:pStyle w:val="TableText"/>
            </w:pPr>
          </w:p>
        </w:tc>
        <w:tc>
          <w:tcPr>
            <w:tcW w:w="5895" w:type="dxa"/>
          </w:tcPr>
          <w:p w14:paraId="4EAFE551" w14:textId="77777777" w:rsidR="00C7334A" w:rsidRPr="00822B74" w:rsidRDefault="00C7334A" w:rsidP="00884314">
            <w:pPr>
              <w:pStyle w:val="TableBlockOutdent"/>
            </w:pPr>
            <w:r w:rsidRPr="00822B74">
              <w:rPr>
                <w:rFonts w:hint="cs"/>
                <w:rtl/>
              </w:rPr>
              <w:t>""חברה ציבורית", "תאגיד פיננסי" ו"תאגיד שליטה"</w:t>
            </w:r>
            <w:r w:rsidRPr="00822B74">
              <w:rPr>
                <w:rtl/>
              </w:rPr>
              <w:softHyphen/>
            </w:r>
            <w:r w:rsidRPr="00822B74">
              <w:rPr>
                <w:rFonts w:hint="cs"/>
                <w:rtl/>
              </w:rPr>
              <w:t>–כהגדרתם בחוק תגמול לנושאי משרה בתאגידים פיננסיים (אישור מיוחד ואי-התרת הוצאה לצורכי מס בשל תגמול חריג), התשע"ו</w:t>
            </w:r>
            <w:r w:rsidRPr="00822B74">
              <w:rPr>
                <w:rFonts w:hint="eastAsia"/>
                <w:rtl/>
              </w:rPr>
              <w:t>–2016</w:t>
            </w:r>
            <w:r>
              <w:rPr>
                <w:rStyle w:val="a5"/>
                <w:rtl/>
              </w:rPr>
              <w:footnoteReference w:id="5"/>
            </w:r>
            <w:r w:rsidRPr="00822B74">
              <w:rPr>
                <w:rFonts w:hint="cs"/>
                <w:rtl/>
              </w:rPr>
              <w:t>".</w:t>
            </w:r>
          </w:p>
        </w:tc>
      </w:tr>
      <w:tr w:rsidR="00C7334A" w:rsidRPr="00EC1213" w14:paraId="79C02B69" w14:textId="77777777" w:rsidTr="00884314">
        <w:trPr>
          <w:cantSplit/>
        </w:trPr>
        <w:tc>
          <w:tcPr>
            <w:tcW w:w="1869" w:type="dxa"/>
          </w:tcPr>
          <w:p w14:paraId="28B0CF32" w14:textId="77777777" w:rsidR="00C7334A" w:rsidRPr="000F1A68" w:rsidRDefault="00C7334A" w:rsidP="00884314">
            <w:pPr>
              <w:pStyle w:val="TableSideHeading"/>
            </w:pPr>
            <w:r>
              <w:rPr>
                <w:rFonts w:hint="cs"/>
                <w:rtl/>
              </w:rPr>
              <w:t>תחילה ותחולה</w:t>
            </w:r>
          </w:p>
        </w:tc>
        <w:tc>
          <w:tcPr>
            <w:tcW w:w="624" w:type="dxa"/>
          </w:tcPr>
          <w:p w14:paraId="22097281" w14:textId="77777777" w:rsidR="00C7334A" w:rsidRPr="000F1A68" w:rsidRDefault="00C7334A" w:rsidP="00884314">
            <w:pPr>
              <w:pStyle w:val="TableText"/>
              <w:jc w:val="both"/>
            </w:pPr>
            <w:r>
              <w:rPr>
                <w:rFonts w:hint="cs"/>
                <w:rtl/>
              </w:rPr>
              <w:t>6.</w:t>
            </w:r>
          </w:p>
        </w:tc>
        <w:tc>
          <w:tcPr>
            <w:tcW w:w="7143" w:type="dxa"/>
            <w:gridSpan w:val="3"/>
          </w:tcPr>
          <w:p w14:paraId="5F7A8153" w14:textId="77777777" w:rsidR="00C7334A" w:rsidRPr="000F1A68" w:rsidRDefault="00C7334A" w:rsidP="00884314">
            <w:pPr>
              <w:pStyle w:val="TableBlock"/>
            </w:pPr>
            <w:r w:rsidRPr="00CE4ABE">
              <w:rPr>
                <w:rtl/>
              </w:rPr>
              <w:t>(א)</w:t>
            </w:r>
            <w:r w:rsidRPr="00CE4ABE">
              <w:rPr>
                <w:rtl/>
              </w:rPr>
              <w:tab/>
            </w:r>
            <w:r w:rsidRPr="00CE4ABE">
              <w:rPr>
                <w:rFonts w:hint="eastAsia"/>
                <w:rtl/>
              </w:rPr>
              <w:t>הוראות</w:t>
            </w:r>
            <w:r w:rsidRPr="00CE4ABE">
              <w:rPr>
                <w:rtl/>
              </w:rPr>
              <w:t xml:space="preserve"> </w:t>
            </w:r>
            <w:r w:rsidRPr="00CE4ABE">
              <w:rPr>
                <w:rFonts w:hint="eastAsia"/>
                <w:rtl/>
              </w:rPr>
              <w:t>חוק</w:t>
            </w:r>
            <w:r w:rsidRPr="00CE4ABE">
              <w:rPr>
                <w:rtl/>
              </w:rPr>
              <w:t xml:space="preserve"> </w:t>
            </w:r>
            <w:r w:rsidRPr="00CE4ABE">
              <w:rPr>
                <w:rFonts w:hint="eastAsia"/>
                <w:rtl/>
              </w:rPr>
              <w:t>זה</w:t>
            </w:r>
            <w:r w:rsidRPr="00CE4ABE">
              <w:rPr>
                <w:rtl/>
              </w:rPr>
              <w:t xml:space="preserve"> </w:t>
            </w:r>
            <w:r w:rsidRPr="00CE4ABE">
              <w:rPr>
                <w:rFonts w:hint="eastAsia"/>
                <w:rtl/>
              </w:rPr>
              <w:t>יחולו</w:t>
            </w:r>
            <w:r w:rsidRPr="00CE4ABE">
              <w:rPr>
                <w:rtl/>
              </w:rPr>
              <w:t xml:space="preserve"> </w:t>
            </w:r>
            <w:r w:rsidRPr="00CE4ABE">
              <w:rPr>
                <w:rFonts w:hint="eastAsia"/>
                <w:rtl/>
              </w:rPr>
              <w:t>על</w:t>
            </w:r>
            <w:r w:rsidRPr="00CE4ABE">
              <w:rPr>
                <w:rtl/>
              </w:rPr>
              <w:t xml:space="preserve"> </w:t>
            </w:r>
            <w:r w:rsidRPr="00CE4ABE">
              <w:rPr>
                <w:rFonts w:hint="eastAsia"/>
                <w:rtl/>
              </w:rPr>
              <w:t>התקשרות</w:t>
            </w:r>
            <w:r w:rsidRPr="00CE4ABE">
              <w:rPr>
                <w:rtl/>
              </w:rPr>
              <w:t xml:space="preserve"> </w:t>
            </w:r>
            <w:r w:rsidRPr="00CE4ABE">
              <w:rPr>
                <w:rFonts w:hint="eastAsia"/>
                <w:rtl/>
              </w:rPr>
              <w:t>כאמור</w:t>
            </w:r>
            <w:r w:rsidRPr="00CE4ABE">
              <w:rPr>
                <w:rtl/>
              </w:rPr>
              <w:t xml:space="preserve"> </w:t>
            </w:r>
            <w:r w:rsidRPr="00CE4ABE">
              <w:rPr>
                <w:rFonts w:hint="eastAsia"/>
                <w:rtl/>
              </w:rPr>
              <w:t>בסעיף</w:t>
            </w:r>
            <w:r w:rsidRPr="00CE4ABE">
              <w:rPr>
                <w:rtl/>
              </w:rPr>
              <w:t xml:space="preserve"> 2(א) </w:t>
            </w:r>
            <w:r>
              <w:rPr>
                <w:rFonts w:hint="cs"/>
                <w:rtl/>
              </w:rPr>
              <w:t xml:space="preserve">לחוק העיקרי כנוסחו בחוק זה, </w:t>
            </w:r>
            <w:r w:rsidRPr="00CE4ABE">
              <w:rPr>
                <w:rFonts w:hint="eastAsia"/>
                <w:rtl/>
              </w:rPr>
              <w:t>שאושרה</w:t>
            </w:r>
            <w:r>
              <w:rPr>
                <w:rFonts w:hint="cs"/>
                <w:rtl/>
              </w:rPr>
              <w:t xml:space="preserve"> בחברה ציבורית</w:t>
            </w:r>
            <w:r w:rsidRPr="00CE4ABE">
              <w:rPr>
                <w:rtl/>
              </w:rPr>
              <w:t xml:space="preserve"> החל ביום פ</w:t>
            </w:r>
            <w:r>
              <w:rPr>
                <w:rtl/>
              </w:rPr>
              <w:t>רסום חוק זה (להלן – יום הפרסום)</w:t>
            </w:r>
            <w:r>
              <w:rPr>
                <w:rFonts w:hint="cs"/>
                <w:rtl/>
              </w:rPr>
              <w:t xml:space="preserve"> </w:t>
            </w:r>
            <w:r w:rsidRPr="00CE4ABE">
              <w:rPr>
                <w:rtl/>
              </w:rPr>
              <w:t>ואילך, ואולם לגבי התקשרות כאמור שאושרה לפני יום הפרסום, יחולו הוראות חוק זה החל מתום שישה חודשים מיום הפרסום והיא תהיה טעונה אישור לפי הסעיף האמור עד לאותו מועד.</w:t>
            </w:r>
          </w:p>
        </w:tc>
      </w:tr>
      <w:tr w:rsidR="00C7334A" w14:paraId="79FC62B9" w14:textId="77777777" w:rsidTr="00884314">
        <w:trPr>
          <w:cantSplit/>
        </w:trPr>
        <w:tc>
          <w:tcPr>
            <w:tcW w:w="1869" w:type="dxa"/>
          </w:tcPr>
          <w:p w14:paraId="5C4E4850" w14:textId="77777777" w:rsidR="00C7334A" w:rsidRDefault="00C7334A" w:rsidP="00884314">
            <w:pPr>
              <w:pStyle w:val="TableSideHeading"/>
            </w:pPr>
          </w:p>
        </w:tc>
        <w:tc>
          <w:tcPr>
            <w:tcW w:w="624" w:type="dxa"/>
          </w:tcPr>
          <w:p w14:paraId="423917EE" w14:textId="77777777" w:rsidR="00C7334A" w:rsidRDefault="00C7334A" w:rsidP="00884314">
            <w:pPr>
              <w:pStyle w:val="TableText"/>
            </w:pPr>
          </w:p>
        </w:tc>
        <w:tc>
          <w:tcPr>
            <w:tcW w:w="7143" w:type="dxa"/>
            <w:gridSpan w:val="3"/>
          </w:tcPr>
          <w:p w14:paraId="2357CA66" w14:textId="77777777" w:rsidR="00C7334A" w:rsidRPr="00C34DE2" w:rsidRDefault="00C7334A" w:rsidP="00884314">
            <w:pPr>
              <w:pStyle w:val="TableBlock"/>
            </w:pPr>
            <w:r w:rsidRPr="00CE4ABE">
              <w:rPr>
                <w:rtl/>
              </w:rPr>
              <w:t>(ב)</w:t>
            </w:r>
            <w:r w:rsidRPr="00CE4ABE">
              <w:rPr>
                <w:rtl/>
              </w:rPr>
              <w:tab/>
            </w:r>
            <w:r w:rsidRPr="00CE4ABE">
              <w:rPr>
                <w:rFonts w:hint="eastAsia"/>
                <w:rtl/>
              </w:rPr>
              <w:t>על</w:t>
            </w:r>
            <w:r w:rsidRPr="00CE4ABE">
              <w:rPr>
                <w:rtl/>
              </w:rPr>
              <w:t xml:space="preserve"> </w:t>
            </w:r>
            <w:r w:rsidRPr="00CE4ABE">
              <w:rPr>
                <w:rFonts w:hint="eastAsia"/>
                <w:rtl/>
              </w:rPr>
              <w:t>אף</w:t>
            </w:r>
            <w:r w:rsidRPr="00CE4ABE">
              <w:rPr>
                <w:rtl/>
              </w:rPr>
              <w:t xml:space="preserve"> </w:t>
            </w:r>
            <w:r w:rsidRPr="00CE4ABE">
              <w:rPr>
                <w:rFonts w:hint="eastAsia"/>
                <w:rtl/>
              </w:rPr>
              <w:t>האמור</w:t>
            </w:r>
            <w:r w:rsidRPr="00CE4ABE">
              <w:rPr>
                <w:rtl/>
              </w:rPr>
              <w:t xml:space="preserve"> </w:t>
            </w:r>
            <w:r w:rsidRPr="00CE4ABE">
              <w:rPr>
                <w:rFonts w:hint="eastAsia"/>
                <w:rtl/>
              </w:rPr>
              <w:t>בסעיף</w:t>
            </w:r>
            <w:r w:rsidRPr="00CE4ABE">
              <w:rPr>
                <w:rtl/>
              </w:rPr>
              <w:t xml:space="preserve"> </w:t>
            </w:r>
            <w:r w:rsidRPr="00CE4ABE">
              <w:rPr>
                <w:rFonts w:hint="eastAsia"/>
                <w:rtl/>
              </w:rPr>
              <w:t>קטן</w:t>
            </w:r>
            <w:r w:rsidRPr="00CE4ABE">
              <w:rPr>
                <w:rtl/>
              </w:rPr>
              <w:t xml:space="preserve"> (א), </w:t>
            </w:r>
            <w:r w:rsidRPr="00CE4ABE">
              <w:rPr>
                <w:rFonts w:hint="eastAsia"/>
                <w:rtl/>
              </w:rPr>
              <w:t>תחילתם</w:t>
            </w:r>
            <w:r w:rsidRPr="00CE4ABE">
              <w:rPr>
                <w:rtl/>
              </w:rPr>
              <w:t xml:space="preserve"> </w:t>
            </w:r>
            <w:r w:rsidRPr="00CE4ABE">
              <w:rPr>
                <w:rFonts w:hint="eastAsia"/>
                <w:rtl/>
              </w:rPr>
              <w:t>של</w:t>
            </w:r>
            <w:r w:rsidRPr="00CE4ABE">
              <w:rPr>
                <w:rtl/>
              </w:rPr>
              <w:t xml:space="preserve"> </w:t>
            </w:r>
            <w:r w:rsidRPr="00CE4ABE">
              <w:rPr>
                <w:rFonts w:hint="eastAsia"/>
                <w:rtl/>
              </w:rPr>
              <w:t>סעיפים</w:t>
            </w:r>
            <w:r w:rsidRPr="00CE4ABE">
              <w:rPr>
                <w:rtl/>
              </w:rPr>
              <w:t xml:space="preserve"> 32(17) </w:t>
            </w:r>
            <w:r w:rsidRPr="00CE4ABE">
              <w:rPr>
                <w:rFonts w:hint="eastAsia"/>
                <w:rtl/>
              </w:rPr>
              <w:t>ו</w:t>
            </w:r>
            <w:r w:rsidRPr="00CE4ABE">
              <w:rPr>
                <w:rtl/>
              </w:rPr>
              <w:t xml:space="preserve">-141ב </w:t>
            </w:r>
            <w:r w:rsidRPr="00CE4ABE">
              <w:rPr>
                <w:rFonts w:hint="eastAsia"/>
                <w:rtl/>
              </w:rPr>
              <w:t>לפקודת</w:t>
            </w:r>
            <w:r w:rsidRPr="00CE4ABE">
              <w:rPr>
                <w:rtl/>
              </w:rPr>
              <w:t xml:space="preserve"> </w:t>
            </w:r>
            <w:r w:rsidRPr="00CE4ABE">
              <w:rPr>
                <w:rFonts w:hint="eastAsia"/>
                <w:rtl/>
              </w:rPr>
              <w:t>מס</w:t>
            </w:r>
            <w:r w:rsidRPr="00CE4ABE">
              <w:rPr>
                <w:rtl/>
              </w:rPr>
              <w:t xml:space="preserve"> </w:t>
            </w:r>
            <w:r w:rsidRPr="00CE4ABE">
              <w:rPr>
                <w:rFonts w:hint="eastAsia"/>
                <w:rtl/>
              </w:rPr>
              <w:t>הכנסה</w:t>
            </w:r>
            <w:r w:rsidRPr="00CE4ABE">
              <w:rPr>
                <w:rtl/>
              </w:rPr>
              <w:t xml:space="preserve">, </w:t>
            </w:r>
            <w:r w:rsidRPr="00CE4ABE">
              <w:rPr>
                <w:rFonts w:hint="eastAsia"/>
                <w:rtl/>
              </w:rPr>
              <w:t>כנוסחם</w:t>
            </w:r>
            <w:r w:rsidRPr="00CE4ABE">
              <w:rPr>
                <w:rtl/>
              </w:rPr>
              <w:t xml:space="preserve"> </w:t>
            </w:r>
            <w:r w:rsidRPr="00CE4ABE">
              <w:rPr>
                <w:rFonts w:hint="eastAsia"/>
                <w:rtl/>
              </w:rPr>
              <w:t>בסעיף</w:t>
            </w:r>
            <w:r w:rsidRPr="00CE4ABE">
              <w:rPr>
                <w:rtl/>
              </w:rPr>
              <w:t xml:space="preserve"> </w:t>
            </w:r>
            <w:r>
              <w:rPr>
                <w:rFonts w:hint="cs"/>
                <w:rtl/>
              </w:rPr>
              <w:t>5</w:t>
            </w:r>
            <w:r w:rsidRPr="00CE4ABE">
              <w:rPr>
                <w:rtl/>
              </w:rPr>
              <w:t xml:space="preserve"> </w:t>
            </w:r>
            <w:r w:rsidRPr="00CE4ABE">
              <w:rPr>
                <w:rFonts w:hint="eastAsia"/>
                <w:rtl/>
              </w:rPr>
              <w:t>לחוק</w:t>
            </w:r>
            <w:r w:rsidRPr="00CE4ABE">
              <w:rPr>
                <w:rtl/>
              </w:rPr>
              <w:t xml:space="preserve"> </w:t>
            </w:r>
            <w:r w:rsidRPr="00CE4ABE">
              <w:rPr>
                <w:rFonts w:hint="eastAsia"/>
                <w:rtl/>
              </w:rPr>
              <w:t>זה</w:t>
            </w:r>
            <w:r w:rsidRPr="00CE4ABE">
              <w:rPr>
                <w:rtl/>
              </w:rPr>
              <w:t xml:space="preserve">, </w:t>
            </w:r>
            <w:r w:rsidRPr="00CE4ABE">
              <w:rPr>
                <w:rFonts w:hint="eastAsia"/>
                <w:rtl/>
              </w:rPr>
              <w:t>תהיה</w:t>
            </w:r>
            <w:r w:rsidRPr="00CE4ABE">
              <w:rPr>
                <w:rtl/>
              </w:rPr>
              <w:t xml:space="preserve"> </w:t>
            </w:r>
            <w:r w:rsidRPr="00CE4ABE">
              <w:rPr>
                <w:rFonts w:hint="eastAsia"/>
                <w:rtl/>
              </w:rPr>
              <w:t>כמפורט</w:t>
            </w:r>
            <w:r w:rsidRPr="00CE4ABE">
              <w:rPr>
                <w:rtl/>
              </w:rPr>
              <w:t xml:space="preserve"> </w:t>
            </w:r>
            <w:r w:rsidRPr="00CE4ABE">
              <w:rPr>
                <w:rFonts w:hint="eastAsia"/>
                <w:rtl/>
              </w:rPr>
              <w:t>להלן</w:t>
            </w:r>
            <w:r w:rsidRPr="00CE4ABE">
              <w:rPr>
                <w:rtl/>
              </w:rPr>
              <w:t xml:space="preserve">, </w:t>
            </w:r>
            <w:r w:rsidRPr="00CE4ABE">
              <w:rPr>
                <w:rFonts w:hint="eastAsia"/>
                <w:rtl/>
              </w:rPr>
              <w:t>והם</w:t>
            </w:r>
            <w:r w:rsidRPr="00CE4ABE">
              <w:rPr>
                <w:rtl/>
              </w:rPr>
              <w:t xml:space="preserve"> </w:t>
            </w:r>
            <w:r w:rsidRPr="00CE4ABE">
              <w:rPr>
                <w:rFonts w:hint="eastAsia"/>
                <w:rtl/>
              </w:rPr>
              <w:t>יחולו</w:t>
            </w:r>
            <w:r w:rsidRPr="00CE4ABE">
              <w:rPr>
                <w:rtl/>
              </w:rPr>
              <w:t xml:space="preserve"> </w:t>
            </w:r>
            <w:r w:rsidRPr="00CE4ABE">
              <w:rPr>
                <w:rFonts w:hint="eastAsia"/>
                <w:rtl/>
              </w:rPr>
              <w:t>לגבי</w:t>
            </w:r>
            <w:r w:rsidRPr="00CE4ABE">
              <w:rPr>
                <w:rtl/>
              </w:rPr>
              <w:t xml:space="preserve"> </w:t>
            </w:r>
            <w:r w:rsidRPr="00CE4ABE">
              <w:rPr>
                <w:rFonts w:hint="eastAsia"/>
                <w:rtl/>
              </w:rPr>
              <w:t>עלות</w:t>
            </w:r>
            <w:r w:rsidRPr="00CE4ABE">
              <w:rPr>
                <w:rtl/>
              </w:rPr>
              <w:t xml:space="preserve"> </w:t>
            </w:r>
            <w:r w:rsidRPr="00CE4ABE">
              <w:rPr>
                <w:rFonts w:hint="eastAsia"/>
                <w:rtl/>
              </w:rPr>
              <w:t>שכר</w:t>
            </w:r>
            <w:r w:rsidRPr="00CE4ABE">
              <w:rPr>
                <w:rtl/>
              </w:rPr>
              <w:t xml:space="preserve">, </w:t>
            </w:r>
            <w:r w:rsidRPr="00CE4ABE">
              <w:rPr>
                <w:rFonts w:hint="eastAsia"/>
                <w:rtl/>
              </w:rPr>
              <w:t>כהגדרתה</w:t>
            </w:r>
            <w:r w:rsidRPr="00CE4ABE">
              <w:rPr>
                <w:rtl/>
              </w:rPr>
              <w:t xml:space="preserve"> </w:t>
            </w:r>
            <w:r w:rsidRPr="00CE4ABE">
              <w:rPr>
                <w:rFonts w:hint="eastAsia"/>
                <w:rtl/>
              </w:rPr>
              <w:t>בסעיף</w:t>
            </w:r>
            <w:r w:rsidRPr="00CE4ABE">
              <w:rPr>
                <w:rtl/>
              </w:rPr>
              <w:t xml:space="preserve"> 32(17) </w:t>
            </w:r>
            <w:r w:rsidRPr="00CE4ABE">
              <w:rPr>
                <w:rFonts w:hint="eastAsia"/>
                <w:rtl/>
              </w:rPr>
              <w:t>האמור</w:t>
            </w:r>
            <w:r w:rsidRPr="00CE4ABE">
              <w:rPr>
                <w:rtl/>
              </w:rPr>
              <w:t xml:space="preserve">, </w:t>
            </w:r>
            <w:r w:rsidRPr="00CE4ABE">
              <w:rPr>
                <w:rFonts w:hint="eastAsia"/>
                <w:rtl/>
              </w:rPr>
              <w:t>שנשא</w:t>
            </w:r>
            <w:r>
              <w:rPr>
                <w:rFonts w:hint="cs"/>
                <w:rtl/>
              </w:rPr>
              <w:t>ה</w:t>
            </w:r>
            <w:r w:rsidRPr="00CE4ABE">
              <w:rPr>
                <w:rtl/>
              </w:rPr>
              <w:t xml:space="preserve"> בה </w:t>
            </w:r>
            <w:r>
              <w:rPr>
                <w:rFonts w:hint="cs"/>
                <w:rtl/>
              </w:rPr>
              <w:t>חברה ציבורית</w:t>
            </w:r>
            <w:r w:rsidRPr="00CE4ABE">
              <w:rPr>
                <w:rtl/>
              </w:rPr>
              <w:t xml:space="preserve"> מהמועדים האמורים בפסקה (1) או (2), לפי העניין:  </w:t>
            </w:r>
          </w:p>
        </w:tc>
      </w:tr>
      <w:tr w:rsidR="00C7334A" w14:paraId="46D29C14" w14:textId="77777777" w:rsidTr="00884314">
        <w:trPr>
          <w:cantSplit/>
        </w:trPr>
        <w:tc>
          <w:tcPr>
            <w:tcW w:w="1869" w:type="dxa"/>
          </w:tcPr>
          <w:p w14:paraId="626451D6" w14:textId="77777777" w:rsidR="00C7334A" w:rsidRDefault="00C7334A" w:rsidP="00884314">
            <w:pPr>
              <w:pStyle w:val="TableSideHeading"/>
            </w:pPr>
          </w:p>
        </w:tc>
        <w:tc>
          <w:tcPr>
            <w:tcW w:w="624" w:type="dxa"/>
          </w:tcPr>
          <w:p w14:paraId="3DA457AF" w14:textId="77777777" w:rsidR="00C7334A" w:rsidRDefault="00C7334A" w:rsidP="00884314">
            <w:pPr>
              <w:pStyle w:val="TableText"/>
            </w:pPr>
          </w:p>
        </w:tc>
        <w:tc>
          <w:tcPr>
            <w:tcW w:w="624" w:type="dxa"/>
          </w:tcPr>
          <w:p w14:paraId="64C49F5A" w14:textId="77777777" w:rsidR="00C7334A" w:rsidRDefault="00C7334A" w:rsidP="00884314">
            <w:pPr>
              <w:pStyle w:val="TableText"/>
            </w:pPr>
          </w:p>
        </w:tc>
        <w:tc>
          <w:tcPr>
            <w:tcW w:w="6519" w:type="dxa"/>
            <w:gridSpan w:val="2"/>
          </w:tcPr>
          <w:p w14:paraId="6622242C" w14:textId="77777777" w:rsidR="00C7334A" w:rsidRDefault="00C7334A" w:rsidP="00884314">
            <w:pPr>
              <w:pStyle w:val="TableBlock"/>
            </w:pPr>
            <w:r w:rsidRPr="00CE4ABE">
              <w:rPr>
                <w:rtl/>
              </w:rPr>
              <w:t>(1)</w:t>
            </w:r>
            <w:r w:rsidRPr="00CE4ABE">
              <w:rPr>
                <w:rtl/>
              </w:rPr>
              <w:tab/>
            </w:r>
            <w:r w:rsidRPr="00CE4ABE">
              <w:rPr>
                <w:rFonts w:hint="eastAsia"/>
                <w:rtl/>
              </w:rPr>
              <w:t>לעניין</w:t>
            </w:r>
            <w:r w:rsidRPr="00CE4ABE">
              <w:rPr>
                <w:rtl/>
              </w:rPr>
              <w:t xml:space="preserve"> התקשרות שאושרה </w:t>
            </w:r>
            <w:r w:rsidRPr="00CE4ABE">
              <w:rPr>
                <w:rFonts w:hint="eastAsia"/>
                <w:rtl/>
              </w:rPr>
              <w:t>בחברה</w:t>
            </w:r>
            <w:r w:rsidRPr="00CE4ABE">
              <w:rPr>
                <w:rtl/>
              </w:rPr>
              <w:t xml:space="preserve"> ציבורית </w:t>
            </w:r>
            <w:r w:rsidRPr="00CE4ABE">
              <w:rPr>
                <w:rFonts w:hint="eastAsia"/>
                <w:rtl/>
              </w:rPr>
              <w:t>לפני</w:t>
            </w:r>
            <w:r w:rsidRPr="00CE4ABE">
              <w:rPr>
                <w:rtl/>
              </w:rPr>
              <w:t xml:space="preserve"> יום הפרסום – שישה חודשים מיום הפרסום, והתקרה לתשלום, כהגדרתה בסעיף 32(17) האמור, תחושב באופן יחסי למספר חודשי העבודה של נושא המשרה הבכירה או עובד </w:t>
            </w:r>
            <w:r w:rsidRPr="00CE4ABE">
              <w:rPr>
                <w:rFonts w:hint="eastAsia"/>
                <w:rtl/>
              </w:rPr>
              <w:t>החברה</w:t>
            </w:r>
            <w:r w:rsidRPr="00CE4ABE">
              <w:rPr>
                <w:rtl/>
              </w:rPr>
              <w:t xml:space="preserve"> </w:t>
            </w:r>
            <w:r w:rsidRPr="00CE4ABE">
              <w:rPr>
                <w:rFonts w:hint="eastAsia"/>
                <w:rtl/>
              </w:rPr>
              <w:t>הציבורית</w:t>
            </w:r>
            <w:r w:rsidRPr="00CE4ABE">
              <w:rPr>
                <w:rtl/>
              </w:rPr>
              <w:t>;</w:t>
            </w:r>
            <w:r w:rsidRPr="00CE4ABE">
              <w:t xml:space="preserve">  </w:t>
            </w:r>
          </w:p>
        </w:tc>
      </w:tr>
      <w:tr w:rsidR="00C7334A" w14:paraId="0F966C90" w14:textId="77777777" w:rsidTr="00884314">
        <w:trPr>
          <w:cantSplit/>
        </w:trPr>
        <w:tc>
          <w:tcPr>
            <w:tcW w:w="1869" w:type="dxa"/>
          </w:tcPr>
          <w:p w14:paraId="18BA7AEB" w14:textId="77777777" w:rsidR="00C7334A" w:rsidRDefault="00C7334A" w:rsidP="00884314">
            <w:pPr>
              <w:pStyle w:val="TableSideHeading"/>
            </w:pPr>
          </w:p>
        </w:tc>
        <w:tc>
          <w:tcPr>
            <w:tcW w:w="624" w:type="dxa"/>
          </w:tcPr>
          <w:p w14:paraId="450A4012" w14:textId="77777777" w:rsidR="00C7334A" w:rsidRDefault="00C7334A" w:rsidP="00884314">
            <w:pPr>
              <w:pStyle w:val="TableText"/>
            </w:pPr>
          </w:p>
        </w:tc>
        <w:tc>
          <w:tcPr>
            <w:tcW w:w="624" w:type="dxa"/>
          </w:tcPr>
          <w:p w14:paraId="3548BCF2" w14:textId="77777777" w:rsidR="00C7334A" w:rsidRDefault="00C7334A" w:rsidP="00884314">
            <w:pPr>
              <w:pStyle w:val="TableText"/>
            </w:pPr>
          </w:p>
        </w:tc>
        <w:tc>
          <w:tcPr>
            <w:tcW w:w="6519" w:type="dxa"/>
            <w:gridSpan w:val="2"/>
          </w:tcPr>
          <w:p w14:paraId="4285518D" w14:textId="77777777" w:rsidR="00C7334A" w:rsidRPr="00CE4ABE" w:rsidRDefault="00C7334A" w:rsidP="00884314">
            <w:pPr>
              <w:pStyle w:val="TableBlock"/>
              <w:rPr>
                <w:rtl/>
              </w:rPr>
            </w:pPr>
            <w:r w:rsidRPr="00A75647">
              <w:rPr>
                <w:rtl/>
              </w:rPr>
              <w:t>(2)</w:t>
            </w:r>
            <w:r w:rsidRPr="00A75647">
              <w:rPr>
                <w:rtl/>
              </w:rPr>
              <w:tab/>
            </w:r>
            <w:r w:rsidRPr="00A75647">
              <w:rPr>
                <w:rFonts w:hint="eastAsia"/>
                <w:rtl/>
              </w:rPr>
              <w:t>לעניין</w:t>
            </w:r>
            <w:r w:rsidRPr="00A75647">
              <w:rPr>
                <w:rtl/>
              </w:rPr>
              <w:t xml:space="preserve"> התקשרות שאושרה אחרי יום הפרסום – יום </w:t>
            </w:r>
            <w:r>
              <w:rPr>
                <w:rFonts w:hint="cs"/>
                <w:rtl/>
              </w:rPr>
              <w:t>כ"ד</w:t>
            </w:r>
            <w:r w:rsidRPr="00A75647">
              <w:rPr>
                <w:rtl/>
              </w:rPr>
              <w:t xml:space="preserve"> </w:t>
            </w:r>
            <w:r w:rsidRPr="00A75647">
              <w:rPr>
                <w:rFonts w:hint="eastAsia"/>
                <w:rtl/>
              </w:rPr>
              <w:t>בטבת</w:t>
            </w:r>
            <w:r w:rsidRPr="00A75647">
              <w:rPr>
                <w:rtl/>
              </w:rPr>
              <w:t xml:space="preserve"> </w:t>
            </w:r>
            <w:r w:rsidRPr="00A75647">
              <w:rPr>
                <w:rFonts w:hint="eastAsia"/>
                <w:rtl/>
              </w:rPr>
              <w:t>התשע</w:t>
            </w:r>
            <w:r w:rsidRPr="00A75647">
              <w:rPr>
                <w:rtl/>
              </w:rPr>
              <w:t>"</w:t>
            </w:r>
            <w:r>
              <w:rPr>
                <w:rFonts w:hint="cs"/>
                <w:rtl/>
              </w:rPr>
              <w:t>ט</w:t>
            </w:r>
            <w:r w:rsidRPr="00A75647">
              <w:rPr>
                <w:rtl/>
              </w:rPr>
              <w:t xml:space="preserve"> (1 בינואר </w:t>
            </w:r>
            <w:r>
              <w:rPr>
                <w:rFonts w:hint="cs"/>
                <w:rtl/>
              </w:rPr>
              <w:t>2019</w:t>
            </w:r>
            <w:r w:rsidRPr="00A75647">
              <w:rPr>
                <w:rtl/>
              </w:rPr>
              <w:t xml:space="preserve">).  </w:t>
            </w:r>
          </w:p>
        </w:tc>
      </w:tr>
    </w:tbl>
    <w:p w14:paraId="18CF77BA" w14:textId="77777777" w:rsidR="00C7334A" w:rsidRPr="00A75647" w:rsidRDefault="00C7334A" w:rsidP="00C7334A">
      <w:pPr>
        <w:pStyle w:val="HeadDivreiHesber"/>
        <w:rPr>
          <w:rtl/>
        </w:rPr>
      </w:pPr>
      <w:r w:rsidRPr="00A75647">
        <w:rPr>
          <w:rFonts w:hint="eastAsia"/>
          <w:rtl/>
        </w:rPr>
        <w:t>דברי</w:t>
      </w:r>
      <w:r w:rsidRPr="00A75647">
        <w:rPr>
          <w:rtl/>
        </w:rPr>
        <w:t xml:space="preserve"> </w:t>
      </w:r>
      <w:r w:rsidRPr="00A75647">
        <w:rPr>
          <w:rFonts w:hint="eastAsia"/>
          <w:rtl/>
        </w:rPr>
        <w:t>הסבר</w:t>
      </w:r>
    </w:p>
    <w:p w14:paraId="6A30E2E0" w14:textId="77777777" w:rsidR="00C7334A" w:rsidRPr="0063164A" w:rsidRDefault="00C7334A" w:rsidP="0063164A">
      <w:pPr>
        <w:pStyle w:val="Hesber"/>
        <w:rPr>
          <w:rtl/>
        </w:rPr>
      </w:pPr>
      <w:r w:rsidRPr="0063164A">
        <w:rPr>
          <w:rtl/>
        </w:rPr>
        <w:t>בשנת 2012 נכנס לתוקף חוק החברות (תיקון מס' 20</w:t>
      </w:r>
      <w:r w:rsidRPr="0063164A">
        <w:t xml:space="preserve"> (</w:t>
      </w:r>
      <w:r w:rsidRPr="0063164A">
        <w:rPr>
          <w:rtl/>
        </w:rPr>
        <w:t>התשע"ג</w:t>
      </w:r>
      <w:r w:rsidRPr="0063164A">
        <w:rPr>
          <w:rFonts w:hint="cs"/>
          <w:rtl/>
        </w:rPr>
        <w:t>–</w:t>
      </w:r>
      <w:r w:rsidRPr="0063164A">
        <w:rPr>
          <w:rtl/>
        </w:rPr>
        <w:t>2012</w:t>
      </w:r>
      <w:r w:rsidRPr="0063164A">
        <w:rPr>
          <w:rFonts w:hint="cs"/>
          <w:rtl/>
        </w:rPr>
        <w:t>, ש</w:t>
      </w:r>
      <w:r w:rsidRPr="0063164A">
        <w:rPr>
          <w:rtl/>
        </w:rPr>
        <w:t xml:space="preserve">הסדיר את מבנה התגמול לנושאי משרה בחברות ציבוריות וקבע הליך מיוחד לאישורו. </w:t>
      </w:r>
    </w:p>
    <w:p w14:paraId="707C9013" w14:textId="77777777" w:rsidR="00C7334A" w:rsidRPr="0063164A" w:rsidRDefault="00C7334A" w:rsidP="0063164A">
      <w:pPr>
        <w:pStyle w:val="Hesber"/>
        <w:rPr>
          <w:rtl/>
        </w:rPr>
      </w:pPr>
      <w:r w:rsidRPr="0063164A">
        <w:rPr>
          <w:rFonts w:hint="cs"/>
          <w:rtl/>
        </w:rPr>
        <w:t>לאחר מכן</w:t>
      </w:r>
      <w:r w:rsidRPr="0063164A">
        <w:rPr>
          <w:rtl/>
        </w:rPr>
        <w:t>, בשנים 2013 ו</w:t>
      </w:r>
      <w:r w:rsidRPr="0063164A">
        <w:rPr>
          <w:rFonts w:hint="cs"/>
          <w:rtl/>
        </w:rPr>
        <w:t>-</w:t>
      </w:r>
      <w:r w:rsidRPr="0063164A">
        <w:rPr>
          <w:rtl/>
        </w:rPr>
        <w:t>2014</w:t>
      </w:r>
      <w:r w:rsidRPr="0063164A">
        <w:rPr>
          <w:rFonts w:hint="cs"/>
          <w:rtl/>
        </w:rPr>
        <w:t xml:space="preserve">, </w:t>
      </w:r>
      <w:r w:rsidRPr="0063164A">
        <w:rPr>
          <w:rtl/>
        </w:rPr>
        <w:t xml:space="preserve">קבעו הממונה על שוק ההון, ביטוח וחיסכון במשרד האוצר והמפקח על הבנקים הנחיות לגבי מדיניות תגמול בגופים מוסדיים ובתאגידים בנקאיים, הקושרות בין ביצועי בעל התפקיד והגוף הפיננסי ומגבילות תמריץ לנטילת סיכונים מופרזים. </w:t>
      </w:r>
    </w:p>
    <w:p w14:paraId="75B02DE6" w14:textId="77777777" w:rsidR="00C7334A" w:rsidRPr="0063164A" w:rsidRDefault="00C7334A" w:rsidP="0063164A">
      <w:pPr>
        <w:pStyle w:val="Hesber"/>
        <w:rPr>
          <w:rtl/>
        </w:rPr>
      </w:pPr>
      <w:r w:rsidRPr="0063164A">
        <w:rPr>
          <w:rtl/>
        </w:rPr>
        <w:t>ההנחיות האמורות לא נעשו באמצעות התערבות ישירה של המחוקק בגובה השכר אלא דרך התערבות עקיפה במנגנוני קבלת ההחלטות, במבנה התגמול ובאופן הענקתו</w:t>
      </w:r>
      <w:r w:rsidRPr="0063164A">
        <w:t>.</w:t>
      </w:r>
      <w:r w:rsidRPr="0063164A">
        <w:rPr>
          <w:rFonts w:hint="cs"/>
          <w:rtl/>
        </w:rPr>
        <w:t xml:space="preserve"> </w:t>
      </w:r>
      <w:r w:rsidRPr="0063164A">
        <w:rPr>
          <w:rtl/>
        </w:rPr>
        <w:t>שני מהלכים אלה, לא הועילו ולא שינו דבר, ושכר הבכירים המשיך לטפס</w:t>
      </w:r>
      <w:r w:rsidRPr="0063164A">
        <w:rPr>
          <w:rFonts w:hint="cs"/>
          <w:rtl/>
        </w:rPr>
        <w:t>,</w:t>
      </w:r>
      <w:r w:rsidRPr="0063164A">
        <w:rPr>
          <w:rtl/>
        </w:rPr>
        <w:t xml:space="preserve"> בניגוד גמור לחוק,  </w:t>
      </w:r>
      <w:r w:rsidRPr="0063164A">
        <w:rPr>
          <w:rFonts w:hint="cs"/>
          <w:rtl/>
        </w:rPr>
        <w:t>ש</w:t>
      </w:r>
      <w:r w:rsidRPr="0063164A">
        <w:rPr>
          <w:rtl/>
        </w:rPr>
        <w:t xml:space="preserve">האפקטיביות שלו היתה מידית. </w:t>
      </w:r>
    </w:p>
    <w:p w14:paraId="02DDBA48" w14:textId="77777777" w:rsidR="00C7334A" w:rsidRPr="0063164A" w:rsidRDefault="00C7334A" w:rsidP="0063164A">
      <w:pPr>
        <w:pStyle w:val="Hesber"/>
        <w:rPr>
          <w:rtl/>
        </w:rPr>
      </w:pPr>
      <w:r w:rsidRPr="0063164A">
        <w:rPr>
          <w:rtl/>
        </w:rPr>
        <w:t>חוק תגמול לנושאי משרה בתאגידים פיננסיים (אישור מיוחד ואי-התרת הוצאה לצורכי מס בשל תגמול חריג), התשע"ו</w:t>
      </w:r>
      <w:r w:rsidRPr="0063164A">
        <w:rPr>
          <w:rFonts w:hint="cs"/>
          <w:rtl/>
        </w:rPr>
        <w:t>–</w:t>
      </w:r>
      <w:r w:rsidRPr="0063164A">
        <w:rPr>
          <w:rtl/>
        </w:rPr>
        <w:t xml:space="preserve">2016 </w:t>
      </w:r>
      <w:r w:rsidRPr="0063164A">
        <w:rPr>
          <w:rFonts w:hint="cs"/>
          <w:rtl/>
        </w:rPr>
        <w:t>(</w:t>
      </w:r>
      <w:r w:rsidRPr="0063164A">
        <w:rPr>
          <w:rtl/>
        </w:rPr>
        <w:t>להלן</w:t>
      </w:r>
      <w:r w:rsidRPr="0063164A">
        <w:rPr>
          <w:rFonts w:hint="cs"/>
          <w:rtl/>
        </w:rPr>
        <w:t xml:space="preserve"> </w:t>
      </w:r>
      <w:r w:rsidRPr="0063164A">
        <w:rPr>
          <w:rFonts w:hint="eastAsia"/>
          <w:rtl/>
        </w:rPr>
        <w:t>–</w:t>
      </w:r>
      <w:r w:rsidRPr="0063164A">
        <w:rPr>
          <w:rFonts w:hint="cs"/>
          <w:rtl/>
        </w:rPr>
        <w:t xml:space="preserve"> החוק)</w:t>
      </w:r>
      <w:r w:rsidRPr="0063164A">
        <w:rPr>
          <w:rtl/>
        </w:rPr>
        <w:t xml:space="preserve">, התקבל בכנסת פה אחד ביום י"ט באדר ב' התשע"ו (29 </w:t>
      </w:r>
      <w:r w:rsidRPr="0063164A">
        <w:rPr>
          <w:rtl/>
        </w:rPr>
        <w:lastRenderedPageBreak/>
        <w:t xml:space="preserve">במרס 2016). </w:t>
      </w:r>
      <w:r w:rsidRPr="0063164A">
        <w:rPr>
          <w:rFonts w:hint="cs"/>
          <w:rtl/>
        </w:rPr>
        <w:t>חוק זה</w:t>
      </w:r>
      <w:r w:rsidRPr="0063164A">
        <w:rPr>
          <w:rtl/>
        </w:rPr>
        <w:t xml:space="preserve"> הגביל את תקרת השכר של נושא משרה בכירה בתאגיד פיננסי ל2.5 מיליון ש</w:t>
      </w:r>
      <w:r w:rsidRPr="0063164A">
        <w:rPr>
          <w:rFonts w:hint="cs"/>
          <w:rtl/>
        </w:rPr>
        <w:t>קלים חדשים</w:t>
      </w:r>
      <w:r w:rsidRPr="0063164A">
        <w:rPr>
          <w:rtl/>
        </w:rPr>
        <w:t xml:space="preserve"> בשנה לצ</w:t>
      </w:r>
      <w:r w:rsidRPr="0063164A">
        <w:rPr>
          <w:rFonts w:hint="cs"/>
          <w:rtl/>
        </w:rPr>
        <w:t>ו</w:t>
      </w:r>
      <w:r w:rsidRPr="0063164A">
        <w:rPr>
          <w:rtl/>
        </w:rPr>
        <w:t xml:space="preserve">רכי מס, אך </w:t>
      </w:r>
      <w:r w:rsidRPr="0063164A">
        <w:rPr>
          <w:rFonts w:hint="cs"/>
          <w:rtl/>
        </w:rPr>
        <w:t>יחד עם זאת קבע</w:t>
      </w:r>
      <w:r w:rsidRPr="0063164A">
        <w:rPr>
          <w:rtl/>
        </w:rPr>
        <w:t xml:space="preserve"> </w:t>
      </w:r>
      <w:r w:rsidRPr="0063164A">
        <w:rPr>
          <w:rFonts w:hint="cs"/>
          <w:rtl/>
        </w:rPr>
        <w:t>שניתן ש</w:t>
      </w:r>
      <w:r w:rsidRPr="0063164A">
        <w:rPr>
          <w:rtl/>
        </w:rPr>
        <w:t xml:space="preserve">שכר ישתלם מעבר לתקרה האמורה, ובלבד שלא יעמוד על יותר מפי 35 משכרו של העובד </w:t>
      </w:r>
      <w:r w:rsidRPr="0063164A">
        <w:rPr>
          <w:rFonts w:hint="cs"/>
          <w:rtl/>
        </w:rPr>
        <w:t>שמשתכר בשכר הנמוך</w:t>
      </w:r>
      <w:r w:rsidRPr="0063164A">
        <w:rPr>
          <w:rtl/>
        </w:rPr>
        <w:t xml:space="preserve"> ביותר באותה חברה, לרבות עובדי קבלן ועובדים של ספקי שירותים לחברה.</w:t>
      </w:r>
    </w:p>
    <w:p w14:paraId="0F401B06" w14:textId="77777777" w:rsidR="00C7334A" w:rsidRPr="0063164A" w:rsidRDefault="00C7334A" w:rsidP="0063164A">
      <w:pPr>
        <w:pStyle w:val="Hesber"/>
        <w:rPr>
          <w:rtl/>
        </w:rPr>
      </w:pPr>
      <w:r w:rsidRPr="0063164A">
        <w:rPr>
          <w:rtl/>
        </w:rPr>
        <w:t xml:space="preserve">כשנה וחצי </w:t>
      </w:r>
      <w:r w:rsidRPr="0063164A">
        <w:rPr>
          <w:rFonts w:hint="cs"/>
          <w:rtl/>
        </w:rPr>
        <w:t>לאחר תחילת</w:t>
      </w:r>
      <w:r w:rsidRPr="0063164A">
        <w:rPr>
          <w:rtl/>
        </w:rPr>
        <w:t xml:space="preserve"> החוק, </w:t>
      </w:r>
      <w:r w:rsidRPr="0063164A">
        <w:rPr>
          <w:rFonts w:hint="cs"/>
          <w:rtl/>
        </w:rPr>
        <w:t xml:space="preserve">חל </w:t>
      </w:r>
      <w:r w:rsidRPr="0063164A">
        <w:rPr>
          <w:rtl/>
        </w:rPr>
        <w:t xml:space="preserve">ריסון </w:t>
      </w:r>
      <w:r w:rsidRPr="0063164A">
        <w:rPr>
          <w:rFonts w:hint="cs"/>
          <w:rtl/>
        </w:rPr>
        <w:t>ב</w:t>
      </w:r>
      <w:r w:rsidRPr="0063164A">
        <w:rPr>
          <w:rtl/>
        </w:rPr>
        <w:t xml:space="preserve">שכר בכירים במגזר הפיננסי, </w:t>
      </w:r>
      <w:r w:rsidRPr="0063164A">
        <w:rPr>
          <w:rFonts w:hint="cs"/>
          <w:rtl/>
        </w:rPr>
        <w:t>והיו עליות</w:t>
      </w:r>
      <w:r w:rsidRPr="0063164A">
        <w:rPr>
          <w:rtl/>
        </w:rPr>
        <w:t xml:space="preserve"> שכר בקרב העובדים </w:t>
      </w:r>
      <w:r w:rsidRPr="0063164A">
        <w:rPr>
          <w:rFonts w:hint="cs"/>
          <w:rtl/>
        </w:rPr>
        <w:t xml:space="preserve">בעלי השכר הנמוך </w:t>
      </w:r>
      <w:r w:rsidRPr="0063164A">
        <w:rPr>
          <w:rtl/>
        </w:rPr>
        <w:t xml:space="preserve">ביותר </w:t>
      </w:r>
      <w:r w:rsidRPr="0063164A">
        <w:rPr>
          <w:rFonts w:hint="cs"/>
          <w:rtl/>
        </w:rPr>
        <w:t>בתאגידים הפיננסיים.</w:t>
      </w:r>
      <w:r w:rsidRPr="0063164A">
        <w:rPr>
          <w:rtl/>
        </w:rPr>
        <w:t xml:space="preserve"> עד לחקיקת החוק  פערי </w:t>
      </w:r>
      <w:r w:rsidRPr="0063164A">
        <w:rPr>
          <w:rFonts w:hint="cs"/>
          <w:rtl/>
        </w:rPr>
        <w:t>ה</w:t>
      </w:r>
      <w:r w:rsidRPr="0063164A">
        <w:rPr>
          <w:rtl/>
        </w:rPr>
        <w:t>שכר</w:t>
      </w:r>
      <w:r w:rsidRPr="0063164A">
        <w:rPr>
          <w:rFonts w:hint="cs"/>
          <w:rtl/>
        </w:rPr>
        <w:t xml:space="preserve"> בין קבוצות אלו</w:t>
      </w:r>
      <w:r w:rsidRPr="0063164A">
        <w:rPr>
          <w:rtl/>
        </w:rPr>
        <w:t xml:space="preserve"> </w:t>
      </w:r>
      <w:r w:rsidRPr="0063164A">
        <w:rPr>
          <w:rFonts w:hint="cs"/>
          <w:rtl/>
        </w:rPr>
        <w:t xml:space="preserve">היו </w:t>
      </w:r>
      <w:r w:rsidRPr="0063164A">
        <w:rPr>
          <w:rtl/>
        </w:rPr>
        <w:t>ניכרים</w:t>
      </w:r>
      <w:r w:rsidRPr="0063164A">
        <w:rPr>
          <w:rFonts w:hint="cs"/>
          <w:rtl/>
        </w:rPr>
        <w:t xml:space="preserve"> עוד יותר.</w:t>
      </w:r>
    </w:p>
    <w:p w14:paraId="295977DF" w14:textId="77777777" w:rsidR="00C7334A" w:rsidRPr="0063164A" w:rsidRDefault="00C7334A" w:rsidP="0063164A">
      <w:pPr>
        <w:pStyle w:val="Hesber"/>
        <w:rPr>
          <w:rtl/>
        </w:rPr>
      </w:pPr>
      <w:r w:rsidRPr="0063164A">
        <w:rPr>
          <w:rtl/>
        </w:rPr>
        <w:t xml:space="preserve">נראה </w:t>
      </w:r>
      <w:r w:rsidRPr="0063164A">
        <w:rPr>
          <w:rFonts w:hint="cs"/>
          <w:rtl/>
        </w:rPr>
        <w:t>ש</w:t>
      </w:r>
      <w:r w:rsidRPr="0063164A">
        <w:rPr>
          <w:rtl/>
        </w:rPr>
        <w:t xml:space="preserve">לא זו בלבד </w:t>
      </w:r>
      <w:r w:rsidRPr="0063164A">
        <w:rPr>
          <w:rFonts w:hint="cs"/>
          <w:rtl/>
        </w:rPr>
        <w:t>ש</w:t>
      </w:r>
      <w:r w:rsidRPr="0063164A">
        <w:rPr>
          <w:rtl/>
        </w:rPr>
        <w:t xml:space="preserve">נבואות הזעם בדבר נטישה המונית של מנהלים את </w:t>
      </w:r>
      <w:r w:rsidRPr="0063164A">
        <w:rPr>
          <w:rFonts w:hint="cs"/>
          <w:rtl/>
        </w:rPr>
        <w:t>ה</w:t>
      </w:r>
      <w:r w:rsidRPr="0063164A">
        <w:rPr>
          <w:rtl/>
        </w:rPr>
        <w:t>סקטור הפיננסי</w:t>
      </w:r>
      <w:r w:rsidRPr="0063164A">
        <w:rPr>
          <w:rFonts w:hint="cs"/>
          <w:rtl/>
        </w:rPr>
        <w:t xml:space="preserve"> לא התממשו</w:t>
      </w:r>
      <w:r w:rsidRPr="0063164A">
        <w:rPr>
          <w:rtl/>
        </w:rPr>
        <w:t xml:space="preserve">, אלא </w:t>
      </w:r>
      <w:r w:rsidRPr="0063164A">
        <w:rPr>
          <w:rFonts w:hint="cs"/>
          <w:rtl/>
        </w:rPr>
        <w:t>ש</w:t>
      </w:r>
      <w:r w:rsidRPr="0063164A">
        <w:rPr>
          <w:rtl/>
        </w:rPr>
        <w:t>מטרת</w:t>
      </w:r>
      <w:r w:rsidRPr="0063164A">
        <w:rPr>
          <w:rFonts w:hint="cs"/>
          <w:rtl/>
        </w:rPr>
        <w:t xml:space="preserve"> החוק</w:t>
      </w:r>
      <w:r w:rsidRPr="0063164A">
        <w:rPr>
          <w:rtl/>
        </w:rPr>
        <w:t xml:space="preserve"> הושגה </w:t>
      </w:r>
      <w:r w:rsidRPr="0063164A">
        <w:rPr>
          <w:rFonts w:hint="cs"/>
          <w:rtl/>
        </w:rPr>
        <w:t xml:space="preserve">והיא </w:t>
      </w:r>
      <w:r w:rsidRPr="0063164A">
        <w:rPr>
          <w:rtl/>
        </w:rPr>
        <w:t xml:space="preserve">צמצום פערי השכר ויצירת זיקה, לראשונה, בין שכר העתק של נושאי המשרה הבכירים, </w:t>
      </w:r>
      <w:r w:rsidRPr="0063164A">
        <w:rPr>
          <w:rFonts w:hint="cs"/>
          <w:rtl/>
        </w:rPr>
        <w:t>לזה</w:t>
      </w:r>
      <w:r w:rsidRPr="0063164A">
        <w:rPr>
          <w:rtl/>
        </w:rPr>
        <w:t xml:space="preserve"> של העובדים המוחלשים ובעלי השכר הנמוך ביותר העובדים </w:t>
      </w:r>
      <w:r w:rsidRPr="0063164A">
        <w:rPr>
          <w:rFonts w:hint="cs"/>
          <w:rtl/>
        </w:rPr>
        <w:t>באותו מקום עבודה</w:t>
      </w:r>
      <w:r w:rsidRPr="0063164A">
        <w:rPr>
          <w:rtl/>
        </w:rPr>
        <w:t xml:space="preserve">. </w:t>
      </w:r>
    </w:p>
    <w:p w14:paraId="68586373" w14:textId="77777777" w:rsidR="00C7334A" w:rsidRPr="0063164A" w:rsidRDefault="00C7334A" w:rsidP="0063164A">
      <w:pPr>
        <w:pStyle w:val="Hesber"/>
        <w:rPr>
          <w:rtl/>
        </w:rPr>
      </w:pPr>
      <w:r w:rsidRPr="0063164A">
        <w:rPr>
          <w:rFonts w:hint="cs"/>
          <w:rtl/>
        </w:rPr>
        <w:t xml:space="preserve">על </w:t>
      </w:r>
      <w:r w:rsidRPr="0063164A">
        <w:rPr>
          <w:rtl/>
        </w:rPr>
        <w:t xml:space="preserve"> שכר הבכירים בחברות ציבוריות, מתקיים דיון ציבורי, כלכלי וערכי כאחד, זה כעשור. זאת נוכח גובהו המופרז, וחולשתם של מנגנוני הבקרה והפיקוח בגופים אלה. </w:t>
      </w:r>
    </w:p>
    <w:p w14:paraId="21EC30E2" w14:textId="77777777" w:rsidR="00C7334A" w:rsidRPr="0063164A" w:rsidRDefault="00C7334A" w:rsidP="0063164A">
      <w:pPr>
        <w:pStyle w:val="Hesber"/>
        <w:rPr>
          <w:rtl/>
        </w:rPr>
      </w:pPr>
      <w:r w:rsidRPr="0063164A">
        <w:rPr>
          <w:rtl/>
        </w:rPr>
        <w:t xml:space="preserve">היקפי שכר הבכירים בחברות </w:t>
      </w:r>
      <w:r w:rsidRPr="0063164A">
        <w:rPr>
          <w:rFonts w:hint="cs"/>
          <w:rtl/>
        </w:rPr>
        <w:t>הציבוריות</w:t>
      </w:r>
      <w:r w:rsidRPr="0063164A">
        <w:rPr>
          <w:rtl/>
        </w:rPr>
        <w:t xml:space="preserve"> גדלו בשנים האחרונות באופן ניכר </w:t>
      </w:r>
      <w:r w:rsidRPr="0063164A">
        <w:rPr>
          <w:rFonts w:hint="cs"/>
          <w:rtl/>
        </w:rPr>
        <w:t>ו</w:t>
      </w:r>
      <w:r w:rsidRPr="0063164A">
        <w:rPr>
          <w:rtl/>
        </w:rPr>
        <w:t xml:space="preserve">לעיתים קרובות, </w:t>
      </w:r>
      <w:r w:rsidRPr="0063164A">
        <w:rPr>
          <w:rFonts w:hint="cs"/>
          <w:rtl/>
        </w:rPr>
        <w:t>ל</w:t>
      </w:r>
      <w:r w:rsidRPr="0063164A">
        <w:rPr>
          <w:rtl/>
        </w:rPr>
        <w:t>לא קשר לביצועיהם של המנהלים</w:t>
      </w:r>
      <w:r w:rsidRPr="0063164A">
        <w:rPr>
          <w:rFonts w:hint="cs"/>
          <w:rtl/>
        </w:rPr>
        <w:t xml:space="preserve"> ול</w:t>
      </w:r>
      <w:r w:rsidRPr="0063164A">
        <w:rPr>
          <w:rtl/>
        </w:rPr>
        <w:t>לא קשר לשכר המשולם בחברות אלה לעובדים אחרים, המועסקים לעיתים באמצעות קבלני כ</w:t>
      </w:r>
      <w:r w:rsidRPr="0063164A">
        <w:rPr>
          <w:rFonts w:hint="cs"/>
          <w:rtl/>
        </w:rPr>
        <w:t xml:space="preserve">וח </w:t>
      </w:r>
      <w:r w:rsidRPr="0063164A">
        <w:rPr>
          <w:rtl/>
        </w:rPr>
        <w:t>א</w:t>
      </w:r>
      <w:r w:rsidRPr="0063164A">
        <w:rPr>
          <w:rFonts w:hint="cs"/>
          <w:rtl/>
        </w:rPr>
        <w:t>דם</w:t>
      </w:r>
      <w:r w:rsidRPr="0063164A">
        <w:rPr>
          <w:rtl/>
        </w:rPr>
        <w:t xml:space="preserve"> וספקי ש</w:t>
      </w:r>
      <w:r w:rsidRPr="0063164A">
        <w:rPr>
          <w:rFonts w:hint="cs"/>
          <w:rtl/>
        </w:rPr>
        <w:t>י</w:t>
      </w:r>
      <w:r w:rsidRPr="0063164A">
        <w:rPr>
          <w:rtl/>
        </w:rPr>
        <w:t>רותים</w:t>
      </w:r>
      <w:r w:rsidRPr="0063164A">
        <w:rPr>
          <w:rFonts w:hint="cs"/>
          <w:rtl/>
        </w:rPr>
        <w:t>,</w:t>
      </w:r>
      <w:r w:rsidRPr="0063164A">
        <w:rPr>
          <w:rtl/>
        </w:rPr>
        <w:t xml:space="preserve"> על חשבון </w:t>
      </w:r>
      <w:r w:rsidRPr="0063164A">
        <w:rPr>
          <w:rFonts w:hint="cs"/>
          <w:rtl/>
        </w:rPr>
        <w:t>ה</w:t>
      </w:r>
      <w:r w:rsidRPr="0063164A">
        <w:rPr>
          <w:rtl/>
        </w:rPr>
        <w:t>ציבור</w:t>
      </w:r>
      <w:r w:rsidRPr="0063164A">
        <w:rPr>
          <w:rFonts w:hint="cs"/>
          <w:rtl/>
        </w:rPr>
        <w:t xml:space="preserve"> </w:t>
      </w:r>
      <w:r w:rsidRPr="0063164A">
        <w:rPr>
          <w:rtl/>
        </w:rPr>
        <w:t xml:space="preserve">ובאופן המאפשר לעיתים לבעל השליטה, לתגמל מנכ"לים על פעולות </w:t>
      </w:r>
      <w:r w:rsidRPr="0063164A">
        <w:rPr>
          <w:rFonts w:hint="cs"/>
          <w:rtl/>
        </w:rPr>
        <w:t>ש</w:t>
      </w:r>
      <w:r w:rsidRPr="0063164A">
        <w:rPr>
          <w:rtl/>
        </w:rPr>
        <w:t xml:space="preserve">עשויות להיות רווחיות לבעל השליטה אך </w:t>
      </w:r>
      <w:r w:rsidRPr="0063164A">
        <w:rPr>
          <w:rFonts w:hint="cs"/>
          <w:rtl/>
        </w:rPr>
        <w:t>אינן בהכרח לטובת החברה או בעלי מניותיה</w:t>
      </w:r>
      <w:r w:rsidRPr="0063164A">
        <w:rPr>
          <w:rtl/>
        </w:rPr>
        <w:t>.</w:t>
      </w:r>
    </w:p>
    <w:p w14:paraId="7D1C1C79" w14:textId="77777777" w:rsidR="00C7334A" w:rsidRPr="0063164A" w:rsidRDefault="00C7334A" w:rsidP="0063164A">
      <w:pPr>
        <w:pStyle w:val="Hesber"/>
        <w:rPr>
          <w:rtl/>
        </w:rPr>
      </w:pPr>
      <w:r w:rsidRPr="0063164A">
        <w:rPr>
          <w:rFonts w:hint="cs"/>
          <w:rtl/>
        </w:rPr>
        <w:t xml:space="preserve">בהצעת חוק זו מוצע להגביל את </w:t>
      </w:r>
      <w:r w:rsidRPr="0063164A">
        <w:rPr>
          <w:rtl/>
        </w:rPr>
        <w:t xml:space="preserve">שכר </w:t>
      </w:r>
      <w:r w:rsidRPr="0063164A">
        <w:rPr>
          <w:rFonts w:hint="cs"/>
          <w:rtl/>
        </w:rPr>
        <w:t>ה</w:t>
      </w:r>
      <w:r w:rsidRPr="0063164A">
        <w:rPr>
          <w:rtl/>
        </w:rPr>
        <w:t xml:space="preserve">בכירים </w:t>
      </w:r>
      <w:r w:rsidRPr="0063164A">
        <w:rPr>
          <w:rFonts w:hint="cs"/>
          <w:rtl/>
        </w:rPr>
        <w:t xml:space="preserve">בחברות הציבוריות כפי שנקבע לגבי התאגידים הפיננסיים, כך שתתקיים </w:t>
      </w:r>
      <w:r w:rsidRPr="0063164A">
        <w:rPr>
          <w:rtl/>
        </w:rPr>
        <w:t xml:space="preserve">זיקה מסוימת </w:t>
      </w:r>
      <w:r w:rsidRPr="0063164A">
        <w:rPr>
          <w:rFonts w:hint="cs"/>
          <w:rtl/>
        </w:rPr>
        <w:t>בין שכר נושאי המשרה ל</w:t>
      </w:r>
      <w:r w:rsidRPr="0063164A">
        <w:rPr>
          <w:rtl/>
        </w:rPr>
        <w:t>בין השכר הנמוך ביותר בחברה.</w:t>
      </w:r>
    </w:p>
    <w:p w14:paraId="3A7D4E03" w14:textId="77777777" w:rsidR="00C7334A" w:rsidRPr="0063164A" w:rsidRDefault="00C7334A" w:rsidP="0063164A">
      <w:pPr>
        <w:pStyle w:val="Hesber"/>
        <w:rPr>
          <w:rtl/>
        </w:rPr>
      </w:pPr>
      <w:r w:rsidRPr="0063164A">
        <w:rPr>
          <w:rtl/>
        </w:rPr>
        <w:t>הרחבת</w:t>
      </w:r>
      <w:r w:rsidRPr="0063164A">
        <w:rPr>
          <w:rFonts w:hint="cs"/>
          <w:rtl/>
        </w:rPr>
        <w:t xml:space="preserve"> תחולת</w:t>
      </w:r>
      <w:r w:rsidRPr="0063164A">
        <w:rPr>
          <w:rtl/>
        </w:rPr>
        <w:t xml:space="preserve"> החוק נוכח הראיות המוצקות להצלחתו של החוק במימוש מטרותיו במגזר הפיננסי, תביא לצמצום פערי השכר במשק, בעזרת </w:t>
      </w:r>
      <w:r w:rsidRPr="0063164A">
        <w:rPr>
          <w:rFonts w:hint="cs"/>
          <w:rtl/>
        </w:rPr>
        <w:t>ה</w:t>
      </w:r>
      <w:r w:rsidRPr="0063164A">
        <w:rPr>
          <w:rtl/>
        </w:rPr>
        <w:t>מנגנון לריסון שכר בלתי סביר של מנהלים מחד</w:t>
      </w:r>
      <w:r w:rsidRPr="0063164A">
        <w:rPr>
          <w:rFonts w:hint="cs"/>
          <w:rtl/>
        </w:rPr>
        <w:t xml:space="preserve"> גיסא</w:t>
      </w:r>
      <w:r w:rsidRPr="0063164A">
        <w:rPr>
          <w:rtl/>
        </w:rPr>
        <w:t>, ועלייה בשכר העובדים החלשים ביותר מאידך</w:t>
      </w:r>
      <w:r w:rsidRPr="0063164A">
        <w:rPr>
          <w:rFonts w:hint="cs"/>
          <w:rtl/>
        </w:rPr>
        <w:t xml:space="preserve"> גיסא</w:t>
      </w:r>
      <w:r w:rsidRPr="0063164A">
        <w:rPr>
          <w:rtl/>
        </w:rPr>
        <w:t xml:space="preserve">. </w:t>
      </w:r>
    </w:p>
    <w:p w14:paraId="74268CE6" w14:textId="03132001" w:rsidR="00C7334A" w:rsidRPr="0063164A" w:rsidRDefault="00C7334A" w:rsidP="0063164A">
      <w:pPr>
        <w:pStyle w:val="Hesber"/>
        <w:rPr>
          <w:rtl/>
        </w:rPr>
      </w:pPr>
      <w:r w:rsidRPr="0063164A">
        <w:rPr>
          <w:rFonts w:hint="cs"/>
          <w:rtl/>
        </w:rPr>
        <w:t>הצעת חוק זהה הונחה על שולחן הכנסת העשרים על ידי חברת הכנסת שלי יחימוביץ (</w:t>
      </w:r>
      <w:r w:rsidR="00BE19AA" w:rsidRPr="0063164A">
        <w:rPr>
          <w:rFonts w:hint="cs"/>
          <w:rtl/>
        </w:rPr>
        <w:t>פ/5389/20).</w:t>
      </w:r>
      <w:r w:rsidRPr="0063164A">
        <w:rPr>
          <w:rFonts w:hint="cs"/>
          <w:rtl/>
        </w:rPr>
        <w:t xml:space="preserve"> </w:t>
      </w:r>
    </w:p>
    <w:p w14:paraId="10B27091" w14:textId="77777777" w:rsidR="00195DF2" w:rsidRDefault="00195DF2" w:rsidP="008B79B0">
      <w:pPr>
        <w:pStyle w:val="Hesber"/>
        <w:rPr>
          <w:rtl/>
        </w:rPr>
      </w:pPr>
    </w:p>
    <w:p w14:paraId="28951DDB" w14:textId="77777777" w:rsidR="00195DF2" w:rsidRDefault="00195DF2" w:rsidP="008B79B0">
      <w:pPr>
        <w:pStyle w:val="Hesber"/>
        <w:rPr>
          <w:rtl/>
        </w:rPr>
      </w:pPr>
    </w:p>
    <w:p w14:paraId="442E1481" w14:textId="77777777" w:rsidR="00195DF2" w:rsidRPr="003C5528" w:rsidRDefault="00195DF2" w:rsidP="008B79B0">
      <w:pPr>
        <w:pStyle w:val="Hesber"/>
        <w:rPr>
          <w:rtl/>
        </w:rPr>
      </w:pPr>
      <w:r w:rsidRPr="003C5528">
        <w:rPr>
          <w:rtl/>
        </w:rPr>
        <w:t>---------------------------------</w:t>
      </w:r>
    </w:p>
    <w:p w14:paraId="36D563B8" w14:textId="77777777" w:rsidR="00195DF2" w:rsidRPr="003C5528" w:rsidRDefault="00195DF2" w:rsidP="008B79B0">
      <w:pPr>
        <w:pStyle w:val="Hesber"/>
        <w:rPr>
          <w:rtl/>
        </w:rPr>
      </w:pPr>
      <w:r w:rsidRPr="003C5528">
        <w:rPr>
          <w:rFonts w:hint="cs"/>
          <w:rtl/>
        </w:rPr>
        <w:t>הוגשה</w:t>
      </w:r>
      <w:r w:rsidRPr="003C5528">
        <w:rPr>
          <w:rtl/>
        </w:rPr>
        <w:t xml:space="preserve"> </w:t>
      </w:r>
      <w:r w:rsidRPr="003C5528">
        <w:rPr>
          <w:rFonts w:hint="cs"/>
          <w:rtl/>
        </w:rPr>
        <w:t>ליו</w:t>
      </w:r>
      <w:r w:rsidRPr="003C5528">
        <w:rPr>
          <w:rtl/>
        </w:rPr>
        <w:t>"</w:t>
      </w:r>
      <w:r w:rsidRPr="003C5528">
        <w:rPr>
          <w:rFonts w:hint="cs"/>
          <w:rtl/>
        </w:rPr>
        <w:t>ר</w:t>
      </w:r>
      <w:r w:rsidRPr="003C5528">
        <w:rPr>
          <w:rtl/>
        </w:rPr>
        <w:t xml:space="preserve"> </w:t>
      </w:r>
      <w:r w:rsidRPr="003C5528">
        <w:rPr>
          <w:rFonts w:hint="cs"/>
          <w:rtl/>
        </w:rPr>
        <w:t>הכנסת</w:t>
      </w:r>
      <w:r w:rsidRPr="003C5528">
        <w:rPr>
          <w:rtl/>
        </w:rPr>
        <w:t xml:space="preserve"> </w:t>
      </w:r>
      <w:r w:rsidRPr="003C5528">
        <w:rPr>
          <w:rFonts w:hint="cs"/>
          <w:rtl/>
        </w:rPr>
        <w:t>והסגנים</w:t>
      </w:r>
    </w:p>
    <w:p w14:paraId="335F4EEE" w14:textId="77777777" w:rsidR="00195DF2" w:rsidRPr="003C5528" w:rsidRDefault="00195DF2" w:rsidP="008B79B0">
      <w:pPr>
        <w:pStyle w:val="Hesber"/>
        <w:rPr>
          <w:rtl/>
        </w:rPr>
      </w:pPr>
      <w:r w:rsidRPr="003C5528">
        <w:rPr>
          <w:rFonts w:hint="cs"/>
          <w:rtl/>
        </w:rPr>
        <w:t>והונחה</w:t>
      </w:r>
      <w:r w:rsidRPr="003C5528">
        <w:rPr>
          <w:rtl/>
        </w:rPr>
        <w:t xml:space="preserve"> </w:t>
      </w:r>
      <w:r w:rsidRPr="003C5528">
        <w:rPr>
          <w:rFonts w:hint="cs"/>
          <w:rtl/>
        </w:rPr>
        <w:t>על</w:t>
      </w:r>
      <w:r w:rsidRPr="003C5528">
        <w:rPr>
          <w:rtl/>
        </w:rPr>
        <w:t xml:space="preserve"> </w:t>
      </w:r>
      <w:r w:rsidRPr="003C5528">
        <w:rPr>
          <w:rFonts w:hint="cs"/>
          <w:rtl/>
        </w:rPr>
        <w:t>שולחן</w:t>
      </w:r>
      <w:r w:rsidRPr="003C5528">
        <w:rPr>
          <w:rtl/>
        </w:rPr>
        <w:t xml:space="preserve"> </w:t>
      </w:r>
      <w:r w:rsidRPr="003C5528">
        <w:rPr>
          <w:rFonts w:hint="cs"/>
          <w:rtl/>
        </w:rPr>
        <w:t>הכנסת</w:t>
      </w:r>
      <w:r w:rsidRPr="003C5528">
        <w:rPr>
          <w:rtl/>
        </w:rPr>
        <w:t xml:space="preserve"> </w:t>
      </w:r>
      <w:r w:rsidRPr="003C5528">
        <w:rPr>
          <w:rFonts w:hint="cs"/>
          <w:rtl/>
        </w:rPr>
        <w:t>ביום</w:t>
      </w:r>
    </w:p>
    <w:p w14:paraId="6A63C611" w14:textId="77777777" w:rsidR="00195DF2" w:rsidRPr="008B79B0" w:rsidRDefault="00195DF2" w:rsidP="00A43362">
      <w:pPr>
        <w:pStyle w:val="Hesber"/>
        <w:rPr>
          <w:rtl/>
        </w:rPr>
      </w:pPr>
      <w:r>
        <w:rPr>
          <w:rFonts w:hint="cs"/>
          <w:color w:val="auto"/>
          <w:rtl/>
          <w:lang w:eastAsia="en-US"/>
        </w:rPr>
        <w:t>ט"ו באייר</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 xml:space="preserve">ט </w:t>
      </w:r>
      <w:r w:rsidRPr="00D73212">
        <w:rPr>
          <w:color w:val="auto"/>
          <w:rtl/>
          <w:lang w:eastAsia="en-US"/>
        </w:rPr>
        <w:t>–</w:t>
      </w:r>
      <w:r>
        <w:rPr>
          <w:rFonts w:hint="cs"/>
          <w:color w:val="auto"/>
          <w:rtl/>
          <w:lang w:eastAsia="en-US"/>
        </w:rPr>
        <w:t xml:space="preserve"> 20.5</w:t>
      </w:r>
      <w:r w:rsidRPr="00D73212">
        <w:rPr>
          <w:color w:val="auto"/>
          <w:rtl/>
          <w:lang w:eastAsia="en-US"/>
        </w:rPr>
        <w:t>.</w:t>
      </w:r>
      <w:r>
        <w:rPr>
          <w:rFonts w:hint="cs"/>
          <w:color w:val="auto"/>
          <w:rtl/>
          <w:lang w:eastAsia="en-US"/>
        </w:rPr>
        <w:t>19</w:t>
      </w:r>
    </w:p>
    <w:p w14:paraId="05F83C29" w14:textId="77777777" w:rsidR="00C7334A" w:rsidRDefault="00C7334A" w:rsidP="00C7334A">
      <w:pPr>
        <w:pStyle w:val="Hesber"/>
        <w:rPr>
          <w:rtl/>
        </w:rPr>
      </w:pPr>
    </w:p>
    <w:p w14:paraId="7F6961AE" w14:textId="77777777" w:rsidR="00E13C27" w:rsidRDefault="00E13C27" w:rsidP="0021633A">
      <w:pPr>
        <w:pStyle w:val="HeadDivreiHesber"/>
        <w:spacing w:before="0" w:after="0"/>
        <w:rPr>
          <w:rtl/>
        </w:rPr>
      </w:pPr>
    </w:p>
    <w:p w14:paraId="7F6961CB" w14:textId="77777777" w:rsidR="00E13C27" w:rsidRDefault="00E13C27" w:rsidP="00C7334A">
      <w:pPr>
        <w:pStyle w:val="Hesber"/>
        <w:ind w:firstLine="0"/>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120054">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F2893E3" w14:textId="77777777" w:rsidR="00C7334A" w:rsidRDefault="00C7334A" w:rsidP="00C7334A">
      <w:pPr>
        <w:pStyle w:val="a4"/>
        <w:rPr>
          <w:rtl/>
        </w:rPr>
      </w:pPr>
      <w:r>
        <w:rPr>
          <w:rStyle w:val="a5"/>
        </w:rPr>
        <w:footnoteRef/>
      </w:r>
      <w:r>
        <w:rPr>
          <w:rtl/>
        </w:rPr>
        <w:t xml:space="preserve"> </w:t>
      </w:r>
      <w:r>
        <w:rPr>
          <w:rFonts w:hint="cs"/>
          <w:rtl/>
        </w:rPr>
        <w:t>ס"ח התשע"ו, עמ' 874.</w:t>
      </w:r>
    </w:p>
  </w:footnote>
  <w:footnote w:id="3">
    <w:p w14:paraId="72BE3EA2" w14:textId="77777777" w:rsidR="00C7334A" w:rsidRDefault="00C7334A" w:rsidP="00C7334A">
      <w:pPr>
        <w:pStyle w:val="a4"/>
        <w:rPr>
          <w:rtl/>
        </w:rPr>
      </w:pPr>
      <w:r>
        <w:rPr>
          <w:rStyle w:val="a5"/>
        </w:rPr>
        <w:footnoteRef/>
      </w:r>
      <w:r>
        <w:rPr>
          <w:rtl/>
        </w:rPr>
        <w:t xml:space="preserve"> </w:t>
      </w:r>
      <w:r>
        <w:rPr>
          <w:rFonts w:hint="cs"/>
          <w:rtl/>
        </w:rPr>
        <w:t>ס"ח התשנ"ט, עמ' 189.</w:t>
      </w:r>
    </w:p>
  </w:footnote>
  <w:footnote w:id="4">
    <w:p w14:paraId="0775BE86" w14:textId="77777777" w:rsidR="00C7334A" w:rsidRDefault="00C7334A" w:rsidP="00C7334A">
      <w:pPr>
        <w:pStyle w:val="a4"/>
      </w:pPr>
      <w:r>
        <w:rPr>
          <w:rStyle w:val="a5"/>
        </w:rPr>
        <w:footnoteRef/>
      </w:r>
      <w:r>
        <w:rPr>
          <w:rtl/>
        </w:rPr>
        <w:t xml:space="preserve"> </w:t>
      </w:r>
      <w:r>
        <w:rPr>
          <w:rFonts w:hint="cs"/>
          <w:rtl/>
        </w:rPr>
        <w:t>דיני מדינת ישראל, נוסח חדש 6, עמ' 120.</w:t>
      </w:r>
    </w:p>
  </w:footnote>
  <w:footnote w:id="5">
    <w:p w14:paraId="4B1ABCEC" w14:textId="77777777" w:rsidR="00C7334A" w:rsidRDefault="00C7334A" w:rsidP="00C7334A">
      <w:pPr>
        <w:pStyle w:val="a4"/>
        <w:rPr>
          <w:rtl/>
        </w:rPr>
      </w:pPr>
      <w:r>
        <w:rPr>
          <w:rStyle w:val="a5"/>
        </w:rPr>
        <w:footnoteRef/>
      </w:r>
      <w:r>
        <w:rPr>
          <w:rtl/>
        </w:rPr>
        <w:t xml:space="preserve"> </w:t>
      </w:r>
      <w:r>
        <w:rPr>
          <w:rFonts w:hint="cs"/>
          <w:rtl/>
        </w:rPr>
        <w:t>ס"ח התשע"ו, עמ' 874.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054"/>
    <w:rsid w:val="001207F8"/>
    <w:rsid w:val="00121924"/>
    <w:rsid w:val="001279A8"/>
    <w:rsid w:val="0014195F"/>
    <w:rsid w:val="00152609"/>
    <w:rsid w:val="00153E1B"/>
    <w:rsid w:val="00195DF2"/>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164A"/>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74DA1"/>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E19AA"/>
    <w:rsid w:val="00BF148D"/>
    <w:rsid w:val="00C23B1A"/>
    <w:rsid w:val="00C310EB"/>
    <w:rsid w:val="00C7334A"/>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8BEC3D6-A95F-4EC1-8B6E-BCCF58AA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697467741CB98040970A6DBBC195775F" ma:contentTypeVersion="" ma:contentTypeDescription="צור מסמך חדש." ma:contentTypeScope="" ma:versionID="6e55fc6acbead604c2f45a2c1dd20751">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0B55180-4A5F-4052-91FA-8701845DB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0FCB77F-2336-46BD-9874-B12DB26A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828</Words>
  <Characters>4145</Characters>
  <Application>Microsoft Office Word</Application>
  <DocSecurity>0</DocSecurity>
  <Lines>34</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9</cp:revision>
  <cp:lastPrinted>2019-05-14T11:11:00Z</cp:lastPrinted>
  <dcterms:created xsi:type="dcterms:W3CDTF">2015-04-20T09:58:00Z</dcterms:created>
  <dcterms:modified xsi:type="dcterms:W3CDTF">2019-05-19T10:52:00Z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0x010100697467741CB98040970A6DBBC195775F</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2078934</vt:r8>
  </property>
</Properties>
</file>