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2078764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מאיר כהן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פ/52/21</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הביטוח הלאומי (תיקון – הטבות למי שמקבל גמלה לפי חוק הביטוח הלאומי וקיבל גמלת הבטחת הכנסה), התשע"ט–2019 </w:t>
      </w:r>
      <w:bookmarkEnd w:id="7"/>
    </w:p>
    <w:p w14:paraId="753AC4E1" w14:textId="77777777" w:rsidR="006336F8" w:rsidRDefault="006336F8" w:rsidP="006336F8">
      <w:pPr>
        <w:pStyle w:val="HeadHatzaotHok"/>
        <w:tabs>
          <w:tab w:val="left" w:pos="4071"/>
          <w:tab w:val="center" w:pos="4819"/>
        </w:tabs>
        <w:spacing w:before="0"/>
        <w:rPr>
          <w:sz w:val="26"/>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1872"/>
        <w:gridCol w:w="624"/>
        <w:gridCol w:w="4650"/>
      </w:tblGrid>
      <w:tr w:rsidR="006336F8" w14:paraId="1AB75F4B" w14:textId="77777777" w:rsidTr="005B6E3B">
        <w:trPr>
          <w:cantSplit/>
          <w:trHeight w:val="60"/>
        </w:trPr>
        <w:tc>
          <w:tcPr>
            <w:tcW w:w="1871" w:type="dxa"/>
          </w:tcPr>
          <w:p w14:paraId="6A9FE605" w14:textId="77777777" w:rsidR="006336F8" w:rsidRDefault="006336F8" w:rsidP="005B6E3B">
            <w:pPr>
              <w:pStyle w:val="TableSideHeading"/>
              <w:keepLines w:val="0"/>
            </w:pPr>
            <w:r>
              <w:rPr>
                <w:rFonts w:hint="cs"/>
                <w:rtl/>
              </w:rPr>
              <w:t>הוספת סעיף 252ב</w:t>
            </w:r>
          </w:p>
        </w:tc>
        <w:tc>
          <w:tcPr>
            <w:tcW w:w="624" w:type="dxa"/>
          </w:tcPr>
          <w:p w14:paraId="13483871" w14:textId="77777777" w:rsidR="006336F8" w:rsidRDefault="006336F8" w:rsidP="005B6E3B">
            <w:pPr>
              <w:pStyle w:val="TableText"/>
              <w:keepLines w:val="0"/>
            </w:pPr>
            <w:r>
              <w:rPr>
                <w:rFonts w:hint="cs"/>
                <w:rtl/>
              </w:rPr>
              <w:t>1.</w:t>
            </w:r>
          </w:p>
        </w:tc>
        <w:tc>
          <w:tcPr>
            <w:tcW w:w="7146" w:type="dxa"/>
            <w:gridSpan w:val="3"/>
          </w:tcPr>
          <w:p w14:paraId="54AA0CBC" w14:textId="77777777" w:rsidR="006336F8" w:rsidRPr="004F05B8" w:rsidRDefault="006336F8" w:rsidP="005B6E3B">
            <w:pPr>
              <w:pStyle w:val="TableBlock"/>
            </w:pPr>
            <w:r w:rsidRPr="004F05B8">
              <w:rPr>
                <w:rtl/>
              </w:rPr>
              <w:t>בחוק הביטוח ה</w:t>
            </w:r>
            <w:r>
              <w:rPr>
                <w:rtl/>
              </w:rPr>
              <w:t>לאומי [נוסח משולב], התשנ"ה–1995</w:t>
            </w:r>
            <w:r>
              <w:rPr>
                <w:rStyle w:val="a6"/>
                <w:rtl/>
              </w:rPr>
              <w:footnoteReference w:id="2"/>
            </w:r>
            <w:r w:rsidRPr="004F05B8">
              <w:rPr>
                <w:rtl/>
              </w:rPr>
              <w:t xml:space="preserve">, אחרי סעיף </w:t>
            </w:r>
            <w:r>
              <w:rPr>
                <w:rFonts w:hint="cs"/>
                <w:rtl/>
              </w:rPr>
              <w:t>252א</w:t>
            </w:r>
            <w:r w:rsidRPr="004F05B8">
              <w:rPr>
                <w:rtl/>
              </w:rPr>
              <w:t xml:space="preserve"> יבוא:</w:t>
            </w:r>
          </w:p>
        </w:tc>
      </w:tr>
      <w:tr w:rsidR="006336F8" w14:paraId="629287CB" w14:textId="77777777" w:rsidTr="005B6E3B">
        <w:trPr>
          <w:cantSplit/>
          <w:trHeight w:val="60"/>
        </w:trPr>
        <w:tc>
          <w:tcPr>
            <w:tcW w:w="1871" w:type="dxa"/>
          </w:tcPr>
          <w:p w14:paraId="07CF6F4E" w14:textId="77777777" w:rsidR="006336F8" w:rsidRDefault="006336F8" w:rsidP="005B6E3B">
            <w:pPr>
              <w:pStyle w:val="TableSideHeading"/>
              <w:keepLines w:val="0"/>
            </w:pPr>
          </w:p>
        </w:tc>
        <w:tc>
          <w:tcPr>
            <w:tcW w:w="624" w:type="dxa"/>
          </w:tcPr>
          <w:p w14:paraId="3BEDB982" w14:textId="77777777" w:rsidR="006336F8" w:rsidRPr="00AF3FBB" w:rsidRDefault="006336F8" w:rsidP="005B6E3B">
            <w:pPr>
              <w:pStyle w:val="TableText"/>
              <w:keepLines w:val="0"/>
              <w:rPr>
                <w:highlight w:val="lightGray"/>
              </w:rPr>
            </w:pPr>
          </w:p>
        </w:tc>
        <w:tc>
          <w:tcPr>
            <w:tcW w:w="1872" w:type="dxa"/>
          </w:tcPr>
          <w:p w14:paraId="29F29695" w14:textId="77777777" w:rsidR="006336F8" w:rsidRPr="00136238" w:rsidRDefault="006336F8" w:rsidP="005B6E3B">
            <w:pPr>
              <w:pStyle w:val="TableInnerSideHeading"/>
            </w:pPr>
            <w:r>
              <w:rPr>
                <w:rtl/>
              </w:rPr>
              <w:t>"</w:t>
            </w:r>
            <w:r>
              <w:rPr>
                <w:rFonts w:hint="cs"/>
                <w:rtl/>
              </w:rPr>
              <w:t>זכאות</w:t>
            </w:r>
            <w:r w:rsidRPr="00136238">
              <w:rPr>
                <w:rtl/>
              </w:rPr>
              <w:t xml:space="preserve"> </w:t>
            </w:r>
            <w:r>
              <w:rPr>
                <w:rFonts w:hint="cs"/>
                <w:rtl/>
              </w:rPr>
              <w:t>ל</w:t>
            </w:r>
            <w:r w:rsidRPr="00136238">
              <w:rPr>
                <w:rtl/>
              </w:rPr>
              <w:t xml:space="preserve">הטבות למי </w:t>
            </w:r>
            <w:r>
              <w:rPr>
                <w:rFonts w:hint="cs"/>
                <w:rtl/>
              </w:rPr>
              <w:t>שאינו זכאי לגמלה לפי חוק הבטחת הכנסה</w:t>
            </w:r>
          </w:p>
        </w:tc>
        <w:tc>
          <w:tcPr>
            <w:tcW w:w="624" w:type="dxa"/>
          </w:tcPr>
          <w:p w14:paraId="5A878A40" w14:textId="77777777" w:rsidR="006336F8" w:rsidRDefault="006336F8" w:rsidP="005B6E3B">
            <w:pPr>
              <w:pStyle w:val="TableText"/>
            </w:pPr>
            <w:r>
              <w:rPr>
                <w:rFonts w:hint="cs"/>
                <w:rtl/>
              </w:rPr>
              <w:t>252ב.</w:t>
            </w:r>
          </w:p>
        </w:tc>
        <w:tc>
          <w:tcPr>
            <w:tcW w:w="4650" w:type="dxa"/>
          </w:tcPr>
          <w:p w14:paraId="1CCF94F7" w14:textId="77777777" w:rsidR="006336F8" w:rsidRDefault="006336F8" w:rsidP="005B6E3B">
            <w:pPr>
              <w:pStyle w:val="TableBlock"/>
            </w:pPr>
            <w:r>
              <w:rPr>
                <w:rtl/>
              </w:rPr>
              <w:t>הטבות הניתנות לפי כל דין ו</w:t>
            </w:r>
            <w:r w:rsidRPr="00136238">
              <w:rPr>
                <w:rtl/>
              </w:rPr>
              <w:t>הטבות הניתנות על ידי גוף ציבורי לפי הסכם או נוהג, ל</w:t>
            </w:r>
            <w:r>
              <w:rPr>
                <w:rFonts w:hint="cs"/>
                <w:rtl/>
              </w:rPr>
              <w:t>מי</w:t>
            </w:r>
            <w:r w:rsidRPr="00136238">
              <w:rPr>
                <w:rtl/>
              </w:rPr>
              <w:t xml:space="preserve"> שמשתלמת לו גמלה לפי הוראות חוק הבטחת הכנסה (בסעיף זה – גמלה לפי חוק הבטחת הכנסה), יינתנו גם למבוטח שקיבל גמלה לפי חוק הבטחת הכנסה, והפסיק לקבלה</w:t>
            </w:r>
            <w:r>
              <w:rPr>
                <w:rFonts w:hint="cs"/>
                <w:rtl/>
              </w:rPr>
              <w:t xml:space="preserve"> בשל קבלת</w:t>
            </w:r>
            <w:r w:rsidRPr="00136238">
              <w:rPr>
                <w:rtl/>
              </w:rPr>
              <w:t xml:space="preserve"> קצבה לפי סעיף </w:t>
            </w:r>
            <w:r>
              <w:rPr>
                <w:rFonts w:hint="cs"/>
                <w:rtl/>
              </w:rPr>
              <w:t>252</w:t>
            </w:r>
            <w:r w:rsidRPr="00136238">
              <w:rPr>
                <w:rtl/>
              </w:rPr>
              <w:t>; לעניין זה,  "גוף ציבורי" – הממשלה, הסוכנות היהודית לארץ ישראל וכן גוף נתמך או גוף מתוקצב כהגדרתם בסעיף 32 לחוק יסודות התקציב, התשמ"ה–1985</w:t>
            </w:r>
            <w:r>
              <w:rPr>
                <w:rStyle w:val="a6"/>
                <w:rtl/>
              </w:rPr>
              <w:footnoteReference w:id="3"/>
            </w:r>
            <w:r w:rsidRPr="00136238">
              <w:rPr>
                <w:rtl/>
              </w:rPr>
              <w:t>."</w:t>
            </w:r>
          </w:p>
        </w:tc>
      </w:tr>
      <w:tr w:rsidR="006336F8" w:rsidRPr="004F05B8" w14:paraId="5C2A8DF5" w14:textId="77777777" w:rsidTr="005B6E3B">
        <w:trPr>
          <w:cantSplit/>
          <w:trHeight w:val="60"/>
        </w:trPr>
        <w:tc>
          <w:tcPr>
            <w:tcW w:w="1871" w:type="dxa"/>
          </w:tcPr>
          <w:p w14:paraId="2A705C33" w14:textId="77777777" w:rsidR="006336F8" w:rsidRDefault="006336F8" w:rsidP="005B6E3B">
            <w:pPr>
              <w:pStyle w:val="TableSideHeading"/>
              <w:keepLines w:val="0"/>
            </w:pPr>
            <w:r>
              <w:rPr>
                <w:rFonts w:hint="cs"/>
                <w:rtl/>
              </w:rPr>
              <w:t>תחילה</w:t>
            </w:r>
          </w:p>
        </w:tc>
        <w:tc>
          <w:tcPr>
            <w:tcW w:w="624" w:type="dxa"/>
          </w:tcPr>
          <w:p w14:paraId="338DE81F" w14:textId="77777777" w:rsidR="006336F8" w:rsidRDefault="006336F8" w:rsidP="005B6E3B">
            <w:pPr>
              <w:pStyle w:val="TableText"/>
              <w:keepLines w:val="0"/>
            </w:pPr>
            <w:r>
              <w:rPr>
                <w:rFonts w:hint="cs"/>
                <w:rtl/>
              </w:rPr>
              <w:t>2.</w:t>
            </w:r>
          </w:p>
        </w:tc>
        <w:tc>
          <w:tcPr>
            <w:tcW w:w="7146" w:type="dxa"/>
            <w:gridSpan w:val="3"/>
          </w:tcPr>
          <w:p w14:paraId="660EADB3" w14:textId="77777777" w:rsidR="006336F8" w:rsidRPr="004F05B8" w:rsidRDefault="006336F8" w:rsidP="005B6E3B">
            <w:pPr>
              <w:pStyle w:val="TableBlock"/>
            </w:pPr>
            <w:r>
              <w:rPr>
                <w:rFonts w:hint="cs"/>
                <w:rtl/>
              </w:rPr>
              <w:t>תחילתו של חוק זה שלושים ימים מיום פרסומו.</w:t>
            </w:r>
          </w:p>
        </w:tc>
      </w:tr>
    </w:tbl>
    <w:p w14:paraId="7F6961CA" w14:textId="77777777" w:rsidR="002D1EE3" w:rsidRDefault="002D1EE3" w:rsidP="002D1EE3">
      <w:pPr>
        <w:pStyle w:val="HeadDivreiHesber"/>
        <w:rPr>
          <w:rtl/>
        </w:rPr>
      </w:pPr>
      <w:r w:rsidRPr="0027450A">
        <w:rPr>
          <w:rFonts w:hint="cs"/>
          <w:rtl/>
        </w:rPr>
        <w:t>דברי הסבר</w:t>
      </w:r>
    </w:p>
    <w:p w14:paraId="5B05BB79" w14:textId="77777777" w:rsidR="006336F8" w:rsidRDefault="006336F8" w:rsidP="006336F8">
      <w:pPr>
        <w:pStyle w:val="Hesber"/>
        <w:rPr>
          <w:rtl/>
        </w:rPr>
      </w:pPr>
      <w:r>
        <w:rPr>
          <w:rFonts w:hint="cs"/>
          <w:rtl/>
        </w:rPr>
        <w:t>אדם המגיע לגיל פרישה ומקבל גמלת הבטחת הכנסה לפי חוק הבטחת הכנסה, התשמ"א–1980, זוכה להנחות שונות כגון הנחה בתשלומי הארנונה, הנחה בדמי נסיעה בתחבורה ציבורית, הנחה בדמי כניסה לגנים לאומיים, לתערוכות ומוזיאונים, והנחה בגין תשלומים בעד תרופות.</w:t>
      </w:r>
    </w:p>
    <w:p w14:paraId="05F5F0B8" w14:textId="77777777" w:rsidR="006336F8" w:rsidRDefault="006336F8" w:rsidP="006336F8">
      <w:pPr>
        <w:pStyle w:val="Hesber"/>
        <w:rPr>
          <w:rtl/>
        </w:rPr>
      </w:pPr>
      <w:r>
        <w:rPr>
          <w:rFonts w:hint="cs"/>
          <w:rtl/>
        </w:rPr>
        <w:t>כאשר אותו אדם מתאלמן, הוא אינו זכאי עוד לקבלת גמלת הבטחת הכנסה ובמקום זאת הוא מקבל קצבת שאירים לפי חוק הביטוח הלאומי [נוסח משולב], התשנ"ה–1995. זכאותו לקצבת שאירים מבטלת אף את ההטבות שהיה זכאי להן בעת קבלת הבטחת הכנסה וכך מורע מצבו הכלכלי.</w:t>
      </w:r>
    </w:p>
    <w:p w14:paraId="47207B90" w14:textId="77777777" w:rsidR="006336F8" w:rsidRDefault="006336F8" w:rsidP="006336F8">
      <w:pPr>
        <w:pStyle w:val="Hesber"/>
        <w:rPr>
          <w:rtl/>
        </w:rPr>
      </w:pPr>
      <w:r>
        <w:rPr>
          <w:rFonts w:hint="cs"/>
          <w:rtl/>
        </w:rPr>
        <w:lastRenderedPageBreak/>
        <w:t>מוצע לקבוע כי מי שהיה זכאי להטבות כמקבל גמלת הבטחת הכנסה וזכאותו לאותה גמלה נפסקה בשל קבלת גמלת שאירים ימשיך להיות זכאי לאותן הטבות.</w:t>
      </w:r>
    </w:p>
    <w:p w14:paraId="44313068" w14:textId="2816587D" w:rsidR="006336F8" w:rsidRDefault="006336F8" w:rsidP="006336F8">
      <w:pPr>
        <w:pStyle w:val="Hesber"/>
        <w:rPr>
          <w:rtl/>
        </w:rPr>
      </w:pPr>
      <w:r>
        <w:rPr>
          <w:rFonts w:hint="cs"/>
          <w:rtl/>
        </w:rPr>
        <w:t>הצעות חוק זהות הונחו על שולחן הכנסת התשע-עשרה על ידי חבר הכנסת דוד צור וקבוצת חברי הכנסת (פ/2306/19) ועל שולחן הכנסת העשרים על ידי חבר הכנסת דב חני</w:t>
      </w:r>
      <w:r w:rsidR="0050773C">
        <w:rPr>
          <w:rFonts w:hint="cs"/>
          <w:rtl/>
        </w:rPr>
        <w:t>ן וקבוצת חברי הכנסת (פ/1434/20) ועל ידי חבר הכנסת מאיר כהן וקבוצת חברי הכנסת (פ/4118/20).</w:t>
      </w:r>
    </w:p>
    <w:p w14:paraId="75BC9C75" w14:textId="77777777" w:rsidR="008E586D" w:rsidRDefault="008E586D" w:rsidP="006336F8">
      <w:pPr>
        <w:pStyle w:val="Hesber"/>
        <w:rPr>
          <w:rtl/>
        </w:rPr>
      </w:pPr>
    </w:p>
    <w:p w14:paraId="5FCB2E8F" w14:textId="77777777" w:rsidR="008E586D" w:rsidRDefault="008E586D" w:rsidP="006336F8">
      <w:pPr>
        <w:pStyle w:val="Hesber"/>
        <w:rPr>
          <w:rtl/>
        </w:rPr>
      </w:pPr>
    </w:p>
    <w:p w14:paraId="1BCA84D3" w14:textId="77777777" w:rsidR="008E586D" w:rsidRPr="00D73212" w:rsidRDefault="008E586D" w:rsidP="008E586D">
      <w:pPr>
        <w:pStyle w:val="Hesber"/>
        <w:rPr>
          <w:color w:val="auto"/>
          <w:rtl/>
          <w:lang w:eastAsia="en-US"/>
        </w:rPr>
      </w:pPr>
      <w:r w:rsidRPr="00D73212">
        <w:rPr>
          <w:color w:val="auto"/>
          <w:rtl/>
          <w:lang w:eastAsia="en-US"/>
        </w:rPr>
        <w:t>---------------------------------</w:t>
      </w:r>
    </w:p>
    <w:p w14:paraId="43566466" w14:textId="77777777" w:rsidR="008E586D" w:rsidRPr="00D73212" w:rsidRDefault="008E586D" w:rsidP="008E586D">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4567D69" w14:textId="77777777" w:rsidR="008E586D" w:rsidRPr="00D73212" w:rsidRDefault="008E586D" w:rsidP="008E586D">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6516159C" w14:textId="77777777" w:rsidR="008E586D" w:rsidRPr="00317312" w:rsidRDefault="008E586D" w:rsidP="008E586D">
      <w:pPr>
        <w:pStyle w:val="Hesbe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 xml:space="preserve">19  </w:t>
      </w:r>
    </w:p>
    <w:p w14:paraId="10C6201C" w14:textId="77777777" w:rsidR="008E586D" w:rsidRPr="008E586D" w:rsidRDefault="008E586D" w:rsidP="006336F8">
      <w:pPr>
        <w:pStyle w:val="Hesber"/>
        <w:rPr>
          <w:rtl/>
        </w:rPr>
      </w:pPr>
      <w:bookmarkStart w:id="8" w:name="_GoBack"/>
      <w:bookmarkEnd w:id="8"/>
    </w:p>
    <w:p w14:paraId="2E1AF19B" w14:textId="77777777" w:rsidR="006336F8" w:rsidRDefault="006336F8" w:rsidP="006336F8">
      <w:pPr>
        <w:pStyle w:val="Hesber"/>
        <w:rPr>
          <w:rtl/>
        </w:rPr>
      </w:pPr>
    </w:p>
    <w:p w14:paraId="5AB38965" w14:textId="77777777" w:rsidR="006336F8" w:rsidRDefault="006336F8" w:rsidP="006336F8">
      <w:pPr>
        <w:pStyle w:val="Hesber"/>
      </w:pPr>
    </w:p>
    <w:p w14:paraId="7F6961CB" w14:textId="77777777" w:rsidR="00E13C27" w:rsidRPr="006336F8" w:rsidRDefault="00E13C27" w:rsidP="00E13C27">
      <w:pPr>
        <w:pStyle w:val="Hesber"/>
        <w:rPr>
          <w:rtl/>
        </w:rPr>
      </w:pPr>
    </w:p>
    <w:sectPr w:rsidR="00E13C27" w:rsidRPr="006336F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E586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794D95A" w14:textId="77777777" w:rsidR="006336F8" w:rsidRDefault="006336F8" w:rsidP="006336F8">
      <w:pPr>
        <w:pStyle w:val="a4"/>
      </w:pPr>
      <w:r>
        <w:rPr>
          <w:rStyle w:val="a6"/>
        </w:rPr>
        <w:footnoteRef/>
      </w:r>
      <w:r>
        <w:rPr>
          <w:rtl/>
        </w:rPr>
        <w:t xml:space="preserve"> </w:t>
      </w:r>
      <w:r>
        <w:rPr>
          <w:rFonts w:hint="cs"/>
          <w:rtl/>
        </w:rPr>
        <w:t>ס"ח התשנ"ה, עמ' 210.</w:t>
      </w:r>
    </w:p>
  </w:footnote>
  <w:footnote w:id="3">
    <w:p w14:paraId="54633A5F" w14:textId="77777777" w:rsidR="006336F8" w:rsidRDefault="006336F8" w:rsidP="006336F8">
      <w:pPr>
        <w:pStyle w:val="a4"/>
        <w:rPr>
          <w:rtl/>
        </w:rPr>
      </w:pPr>
      <w:r>
        <w:rPr>
          <w:rStyle w:val="a6"/>
        </w:rPr>
        <w:footnoteRef/>
      </w:r>
      <w:r>
        <w:rPr>
          <w:rtl/>
        </w:rPr>
        <w:t xml:space="preserve"> </w:t>
      </w:r>
      <w:r>
        <w:rPr>
          <w:rFonts w:hint="cs"/>
          <w:rtl/>
        </w:rPr>
        <w:t>ס"ח התשמ"ה, עמ'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0773C"/>
    <w:rsid w:val="00553C9D"/>
    <w:rsid w:val="00562A66"/>
    <w:rsid w:val="005B064E"/>
    <w:rsid w:val="005D51AE"/>
    <w:rsid w:val="0062674B"/>
    <w:rsid w:val="006336F8"/>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586D"/>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41632F1-4ABD-4F0C-ADEF-2DEE913D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6336F8"/>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C5E6-D2D8-4AA6-9F8F-C21766BE2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E0C5C800-A858-4FA4-BD1B-42AF03B7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313</Words>
  <Characters>1569</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6</cp:revision>
  <cp:lastPrinted>2019-05-19T09:12:00Z</cp:lastPrinted>
  <dcterms:created xsi:type="dcterms:W3CDTF">2015-04-20T09:58:00Z</dcterms:created>
  <dcterms:modified xsi:type="dcterms:W3CDTF">2019-05-19T09:12:00Z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2078764</vt:r8>
  </property>
</Properties>
</file>