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2078759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קארין אלהרר</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פ/51/21</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הגנת הצרכן (תיקון – מתן שירות טלפוני חינם למשתמשי רשת חברתית מקוונת), התשע"ט–2019</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521"/>
      </w:tblGrid>
      <w:tr w:rsidR="008E0494" w14:paraId="176B1988" w14:textId="77777777" w:rsidTr="00942BAC">
        <w:trPr>
          <w:cantSplit/>
        </w:trPr>
        <w:tc>
          <w:tcPr>
            <w:tcW w:w="1869" w:type="dxa"/>
          </w:tcPr>
          <w:p w14:paraId="111231DD" w14:textId="77777777" w:rsidR="008E0494" w:rsidRDefault="008E0494" w:rsidP="00942BAC">
            <w:pPr>
              <w:pStyle w:val="TableSideHeading"/>
              <w:keepLines w:val="0"/>
            </w:pPr>
            <w:r>
              <w:rPr>
                <w:rFonts w:hint="cs"/>
                <w:rtl/>
              </w:rPr>
              <w:t xml:space="preserve">תיקון סעיף 1 </w:t>
            </w:r>
          </w:p>
        </w:tc>
        <w:tc>
          <w:tcPr>
            <w:tcW w:w="624" w:type="dxa"/>
          </w:tcPr>
          <w:p w14:paraId="020F9E64" w14:textId="77777777" w:rsidR="008E0494" w:rsidRDefault="008E0494" w:rsidP="00942BAC">
            <w:pPr>
              <w:pStyle w:val="TableText"/>
              <w:keepLines w:val="0"/>
            </w:pPr>
            <w:r>
              <w:rPr>
                <w:rFonts w:hint="cs"/>
                <w:rtl/>
              </w:rPr>
              <w:t>1.</w:t>
            </w:r>
          </w:p>
        </w:tc>
        <w:tc>
          <w:tcPr>
            <w:tcW w:w="7145" w:type="dxa"/>
            <w:gridSpan w:val="2"/>
          </w:tcPr>
          <w:p w14:paraId="2C3C1129" w14:textId="77777777" w:rsidR="008E0494" w:rsidRPr="004976C3" w:rsidRDefault="008E0494" w:rsidP="00942BAC">
            <w:pPr>
              <w:pStyle w:val="TableHead"/>
              <w:jc w:val="both"/>
              <w:rPr>
                <w:b w:val="0"/>
                <w:bCs w:val="0"/>
              </w:rPr>
            </w:pPr>
            <w:r>
              <w:rPr>
                <w:rFonts w:hint="cs"/>
                <w:b w:val="0"/>
                <w:bCs w:val="0"/>
                <w:rtl/>
              </w:rPr>
              <w:t>בחוק הגנת הצרכן, התשמ"א</w:t>
            </w:r>
            <w:r>
              <w:rPr>
                <w:rFonts w:hint="eastAsia"/>
                <w:b w:val="0"/>
                <w:bCs w:val="0"/>
                <w:rtl/>
              </w:rPr>
              <w:t>–</w:t>
            </w:r>
            <w:r>
              <w:rPr>
                <w:rFonts w:hint="cs"/>
                <w:b w:val="0"/>
                <w:bCs w:val="0"/>
                <w:rtl/>
              </w:rPr>
              <w:t>1981</w:t>
            </w:r>
            <w:r>
              <w:rPr>
                <w:rStyle w:val="a5"/>
                <w:b w:val="0"/>
                <w:bCs w:val="0"/>
                <w:rtl/>
              </w:rPr>
              <w:footnoteReference w:id="2"/>
            </w:r>
            <w:r>
              <w:rPr>
                <w:rFonts w:hint="cs"/>
                <w:b w:val="0"/>
                <w:bCs w:val="0"/>
                <w:rtl/>
              </w:rPr>
              <w:t xml:space="preserve"> (להלן </w:t>
            </w:r>
            <w:r>
              <w:rPr>
                <w:b w:val="0"/>
                <w:bCs w:val="0"/>
                <w:rtl/>
              </w:rPr>
              <w:t>–</w:t>
            </w:r>
            <w:r>
              <w:rPr>
                <w:rFonts w:hint="cs"/>
                <w:b w:val="0"/>
                <w:bCs w:val="0"/>
                <w:rtl/>
              </w:rPr>
              <w:t xml:space="preserve"> החוק העיקרי), </w:t>
            </w:r>
            <w:r w:rsidRPr="004976C3">
              <w:rPr>
                <w:rFonts w:hint="cs"/>
                <w:b w:val="0"/>
                <w:bCs w:val="0"/>
                <w:rtl/>
              </w:rPr>
              <w:t>בסעיף</w:t>
            </w:r>
            <w:r>
              <w:rPr>
                <w:rFonts w:hint="cs"/>
                <w:b w:val="0"/>
                <w:bCs w:val="0"/>
                <w:rtl/>
              </w:rPr>
              <w:t xml:space="preserve"> 1 </w:t>
            </w:r>
            <w:r>
              <w:rPr>
                <w:rFonts w:hint="eastAsia"/>
                <w:b w:val="0"/>
                <w:bCs w:val="0"/>
                <w:rtl/>
              </w:rPr>
              <w:t>–</w:t>
            </w:r>
            <w:r w:rsidRPr="004976C3">
              <w:rPr>
                <w:rFonts w:hint="cs"/>
                <w:b w:val="0"/>
                <w:bCs w:val="0"/>
                <w:rtl/>
              </w:rPr>
              <w:t xml:space="preserve"> </w:t>
            </w:r>
          </w:p>
        </w:tc>
      </w:tr>
      <w:tr w:rsidR="008E0494" w14:paraId="7CC37DD7" w14:textId="77777777" w:rsidTr="00942BAC">
        <w:trPr>
          <w:cantSplit/>
        </w:trPr>
        <w:tc>
          <w:tcPr>
            <w:tcW w:w="1869" w:type="dxa"/>
          </w:tcPr>
          <w:p w14:paraId="02BF3367" w14:textId="77777777" w:rsidR="008E0494" w:rsidRDefault="008E0494" w:rsidP="00942BAC">
            <w:pPr>
              <w:pStyle w:val="TableSideHeading"/>
              <w:keepLines w:val="0"/>
              <w:rPr>
                <w:rtl/>
              </w:rPr>
            </w:pPr>
          </w:p>
        </w:tc>
        <w:tc>
          <w:tcPr>
            <w:tcW w:w="624" w:type="dxa"/>
          </w:tcPr>
          <w:p w14:paraId="7C23A458" w14:textId="77777777" w:rsidR="008E0494" w:rsidRDefault="008E0494" w:rsidP="00942BAC">
            <w:pPr>
              <w:pStyle w:val="TableText"/>
              <w:keepLines w:val="0"/>
              <w:rPr>
                <w:rtl/>
              </w:rPr>
            </w:pPr>
          </w:p>
        </w:tc>
        <w:tc>
          <w:tcPr>
            <w:tcW w:w="7145" w:type="dxa"/>
            <w:gridSpan w:val="2"/>
          </w:tcPr>
          <w:p w14:paraId="7E64D16F" w14:textId="77777777" w:rsidR="008E0494" w:rsidRPr="0069228C" w:rsidRDefault="008E0494" w:rsidP="00942BAC">
            <w:pPr>
              <w:pStyle w:val="TableBlock"/>
              <w:rPr>
                <w:rtl/>
              </w:rPr>
            </w:pPr>
            <w:r>
              <w:rPr>
                <w:rFonts w:hint="cs"/>
                <w:rtl/>
              </w:rPr>
              <w:t>(1)</w:t>
            </w:r>
            <w:r>
              <w:rPr>
                <w:rtl/>
              </w:rPr>
              <w:tab/>
            </w:r>
            <w:r>
              <w:rPr>
                <w:rFonts w:hint="cs"/>
                <w:rtl/>
              </w:rPr>
              <w:t>אחרי ההגדרה "מספר זהות" יבוא:</w:t>
            </w:r>
          </w:p>
        </w:tc>
      </w:tr>
      <w:tr w:rsidR="008E0494" w14:paraId="5C6ADBCB" w14:textId="77777777" w:rsidTr="00942BAC">
        <w:trPr>
          <w:cantSplit/>
        </w:trPr>
        <w:tc>
          <w:tcPr>
            <w:tcW w:w="1869" w:type="dxa"/>
          </w:tcPr>
          <w:p w14:paraId="72BF9E4F" w14:textId="77777777" w:rsidR="008E0494" w:rsidRDefault="008E0494" w:rsidP="00942BAC">
            <w:pPr>
              <w:pStyle w:val="TableSideHeading"/>
              <w:keepLines w:val="0"/>
              <w:rPr>
                <w:rtl/>
              </w:rPr>
            </w:pPr>
          </w:p>
        </w:tc>
        <w:tc>
          <w:tcPr>
            <w:tcW w:w="624" w:type="dxa"/>
          </w:tcPr>
          <w:p w14:paraId="3C292A9F" w14:textId="77777777" w:rsidR="008E0494" w:rsidRDefault="008E0494" w:rsidP="00942BAC">
            <w:pPr>
              <w:pStyle w:val="TableText"/>
              <w:rPr>
                <w:rtl/>
              </w:rPr>
            </w:pPr>
          </w:p>
        </w:tc>
        <w:tc>
          <w:tcPr>
            <w:tcW w:w="7145" w:type="dxa"/>
            <w:gridSpan w:val="2"/>
          </w:tcPr>
          <w:p w14:paraId="1254DB39" w14:textId="77777777" w:rsidR="008E0494" w:rsidRPr="00CC0E27" w:rsidRDefault="008E0494" w:rsidP="00942BAC">
            <w:pPr>
              <w:pStyle w:val="TableBlockOutdent"/>
              <w:rPr>
                <w:rtl/>
              </w:rPr>
            </w:pPr>
            <w:r w:rsidRPr="00CC0E27">
              <w:rPr>
                <w:rFonts w:hint="cs"/>
                <w:rtl/>
              </w:rPr>
              <w:t xml:space="preserve">""מפעיל רשת חברתית מקוונת" </w:t>
            </w:r>
            <w:r w:rsidRPr="00CC0E27">
              <w:rPr>
                <w:rFonts w:hint="eastAsia"/>
                <w:rtl/>
              </w:rPr>
              <w:t>–</w:t>
            </w:r>
            <w:r w:rsidRPr="00CC0E27">
              <w:rPr>
                <w:rFonts w:hint="cs"/>
                <w:rtl/>
              </w:rPr>
              <w:t xml:space="preserve"> </w:t>
            </w:r>
            <w:r w:rsidRPr="00CC0E27">
              <w:rPr>
                <w:rtl/>
              </w:rPr>
              <w:t>מנהל אתר האינטרנט בו מתבצעת פעילות משתמשי הרשת החברתית, לרבות אדם או חברה המופקדים על הקמת האתר האמור או תפעולו;</w:t>
            </w:r>
            <w:r w:rsidRPr="00CC0E27">
              <w:rPr>
                <w:rFonts w:hint="cs"/>
                <w:rtl/>
              </w:rPr>
              <w:t>";</w:t>
            </w:r>
          </w:p>
        </w:tc>
      </w:tr>
      <w:tr w:rsidR="008E0494" w14:paraId="3DF7C806" w14:textId="77777777" w:rsidTr="00942BAC">
        <w:trPr>
          <w:cantSplit/>
        </w:trPr>
        <w:tc>
          <w:tcPr>
            <w:tcW w:w="1869" w:type="dxa"/>
          </w:tcPr>
          <w:p w14:paraId="0A7EDC88" w14:textId="77777777" w:rsidR="008E0494" w:rsidRDefault="008E0494" w:rsidP="00942BAC">
            <w:pPr>
              <w:pStyle w:val="TableSideHeading"/>
              <w:keepLines w:val="0"/>
              <w:rPr>
                <w:rtl/>
              </w:rPr>
            </w:pPr>
          </w:p>
        </w:tc>
        <w:tc>
          <w:tcPr>
            <w:tcW w:w="624" w:type="dxa"/>
          </w:tcPr>
          <w:p w14:paraId="3FDF0275" w14:textId="77777777" w:rsidR="008E0494" w:rsidRDefault="008E0494" w:rsidP="00942BAC">
            <w:pPr>
              <w:pStyle w:val="TableText"/>
              <w:rPr>
                <w:rtl/>
              </w:rPr>
            </w:pPr>
          </w:p>
        </w:tc>
        <w:tc>
          <w:tcPr>
            <w:tcW w:w="7145" w:type="dxa"/>
            <w:gridSpan w:val="2"/>
          </w:tcPr>
          <w:p w14:paraId="696E0D0E" w14:textId="77777777" w:rsidR="008E0494" w:rsidRDefault="008E0494" w:rsidP="00942BAC">
            <w:pPr>
              <w:pStyle w:val="TableBlock"/>
              <w:rPr>
                <w:rtl/>
              </w:rPr>
            </w:pPr>
            <w:r>
              <w:rPr>
                <w:rFonts w:hint="cs"/>
                <w:rtl/>
              </w:rPr>
              <w:t>(2)</w:t>
            </w:r>
            <w:r>
              <w:rPr>
                <w:rtl/>
              </w:rPr>
              <w:tab/>
            </w:r>
            <w:r w:rsidRPr="00FB3DD2">
              <w:rPr>
                <w:rFonts w:hint="eastAsia"/>
                <w:rtl/>
              </w:rPr>
              <w:t>אחרי</w:t>
            </w:r>
            <w:r w:rsidRPr="00FB3DD2">
              <w:rPr>
                <w:rtl/>
              </w:rPr>
              <w:t xml:space="preserve"> </w:t>
            </w:r>
            <w:r w:rsidRPr="0069228C">
              <w:rPr>
                <w:rFonts w:hint="cs"/>
                <w:rtl/>
              </w:rPr>
              <w:t xml:space="preserve"> ההגדרה </w:t>
            </w:r>
            <w:r w:rsidRPr="00FB3DD2">
              <w:rPr>
                <w:rtl/>
              </w:rPr>
              <w:t>"צרכן"</w:t>
            </w:r>
            <w:r w:rsidRPr="0069228C">
              <w:rPr>
                <w:rFonts w:hint="cs"/>
                <w:rtl/>
              </w:rPr>
              <w:t xml:space="preserve"> יבוא:</w:t>
            </w:r>
          </w:p>
        </w:tc>
      </w:tr>
      <w:tr w:rsidR="008E0494" w14:paraId="3F6F818F" w14:textId="77777777" w:rsidTr="00942BAC">
        <w:trPr>
          <w:cantSplit/>
        </w:trPr>
        <w:tc>
          <w:tcPr>
            <w:tcW w:w="1869" w:type="dxa"/>
          </w:tcPr>
          <w:p w14:paraId="65C16445" w14:textId="77777777" w:rsidR="008E0494" w:rsidRDefault="008E0494" w:rsidP="00942BAC">
            <w:pPr>
              <w:pStyle w:val="TableSideHeading"/>
              <w:keepLines w:val="0"/>
            </w:pPr>
          </w:p>
        </w:tc>
        <w:tc>
          <w:tcPr>
            <w:tcW w:w="624" w:type="dxa"/>
          </w:tcPr>
          <w:p w14:paraId="47309FF4" w14:textId="77777777" w:rsidR="008E0494" w:rsidRDefault="008E0494" w:rsidP="00942BAC">
            <w:pPr>
              <w:pStyle w:val="TableText"/>
              <w:keepLines w:val="0"/>
            </w:pPr>
          </w:p>
        </w:tc>
        <w:tc>
          <w:tcPr>
            <w:tcW w:w="7145" w:type="dxa"/>
            <w:gridSpan w:val="2"/>
          </w:tcPr>
          <w:p w14:paraId="2F753B45" w14:textId="77777777" w:rsidR="008E0494" w:rsidRPr="000B0E8B" w:rsidRDefault="008E0494" w:rsidP="00942BAC">
            <w:pPr>
              <w:pStyle w:val="TableBlockOutdent"/>
            </w:pPr>
            <w:r w:rsidRPr="0069228C">
              <w:rPr>
                <w:rFonts w:hint="cs"/>
                <w:rtl/>
              </w:rPr>
              <w:t>"</w:t>
            </w:r>
            <w:r w:rsidRPr="0069228C">
              <w:rPr>
                <w:rtl/>
              </w:rPr>
              <w:t>"</w:t>
            </w:r>
            <w:r w:rsidRPr="0069228C">
              <w:rPr>
                <w:rFonts w:hint="cs"/>
                <w:rtl/>
              </w:rPr>
              <w:t>רשת חברתית מקוונת" – שירות רשת המאפשר למשתמש בו את כל אלה:</w:t>
            </w:r>
          </w:p>
        </w:tc>
      </w:tr>
      <w:tr w:rsidR="008E0494" w14:paraId="1F0C658D" w14:textId="77777777" w:rsidTr="00942BAC">
        <w:trPr>
          <w:cantSplit/>
          <w:trHeight w:val="60"/>
        </w:trPr>
        <w:tc>
          <w:tcPr>
            <w:tcW w:w="1869" w:type="dxa"/>
          </w:tcPr>
          <w:p w14:paraId="33CA2D55" w14:textId="77777777" w:rsidR="008E0494" w:rsidRDefault="008E0494" w:rsidP="00942BAC">
            <w:pPr>
              <w:pStyle w:val="TableSideHeading"/>
            </w:pPr>
          </w:p>
        </w:tc>
        <w:tc>
          <w:tcPr>
            <w:tcW w:w="624" w:type="dxa"/>
          </w:tcPr>
          <w:p w14:paraId="6E39DC4F" w14:textId="77777777" w:rsidR="008E0494" w:rsidRDefault="008E0494" w:rsidP="00942BAC">
            <w:pPr>
              <w:pStyle w:val="TableText"/>
            </w:pPr>
          </w:p>
        </w:tc>
        <w:tc>
          <w:tcPr>
            <w:tcW w:w="624" w:type="dxa"/>
          </w:tcPr>
          <w:p w14:paraId="3CC5B903" w14:textId="77777777" w:rsidR="008E0494" w:rsidRDefault="008E0494" w:rsidP="00942BAC">
            <w:pPr>
              <w:pStyle w:val="TableText"/>
            </w:pPr>
          </w:p>
        </w:tc>
        <w:tc>
          <w:tcPr>
            <w:tcW w:w="6521" w:type="dxa"/>
          </w:tcPr>
          <w:p w14:paraId="08577ABD" w14:textId="77777777" w:rsidR="008E0494" w:rsidRPr="000B0E8B" w:rsidRDefault="008E0494" w:rsidP="00942BAC">
            <w:pPr>
              <w:pStyle w:val="TableBlockOutdent"/>
            </w:pPr>
            <w:r w:rsidRPr="0069228C">
              <w:rPr>
                <w:rFonts w:hint="cs"/>
                <w:rtl/>
              </w:rPr>
              <w:t>(1)</w:t>
            </w:r>
            <w:r w:rsidRPr="0069228C">
              <w:rPr>
                <w:rtl/>
              </w:rPr>
              <w:tab/>
            </w:r>
            <w:r w:rsidRPr="000B0E8B">
              <w:rPr>
                <w:rFonts w:hint="eastAsia"/>
                <w:rtl/>
              </w:rPr>
              <w:t>יצירת</w:t>
            </w:r>
            <w:r w:rsidRPr="000B0E8B">
              <w:rPr>
                <w:rtl/>
              </w:rPr>
              <w:t xml:space="preserve"> </w:t>
            </w:r>
            <w:r w:rsidRPr="000B0E8B">
              <w:rPr>
                <w:rFonts w:hint="eastAsia"/>
                <w:rtl/>
              </w:rPr>
              <w:t>כינוי</w:t>
            </w:r>
            <w:r w:rsidRPr="000B0E8B">
              <w:rPr>
                <w:rtl/>
              </w:rPr>
              <w:t xml:space="preserve"> </w:t>
            </w:r>
            <w:r w:rsidRPr="000B0E8B">
              <w:rPr>
                <w:rFonts w:hint="eastAsia"/>
                <w:rtl/>
              </w:rPr>
              <w:t>משתמש</w:t>
            </w:r>
            <w:r w:rsidRPr="000B0E8B">
              <w:rPr>
                <w:rtl/>
              </w:rPr>
              <w:t xml:space="preserve"> </w:t>
            </w:r>
            <w:r w:rsidRPr="000B0E8B">
              <w:rPr>
                <w:rFonts w:hint="eastAsia"/>
                <w:rtl/>
              </w:rPr>
              <w:t>הגלוי</w:t>
            </w:r>
            <w:r w:rsidRPr="000B0E8B">
              <w:rPr>
                <w:rtl/>
              </w:rPr>
              <w:t xml:space="preserve"> </w:t>
            </w:r>
            <w:r w:rsidRPr="000B0E8B">
              <w:rPr>
                <w:rFonts w:hint="eastAsia"/>
                <w:rtl/>
              </w:rPr>
              <w:t>לכלל</w:t>
            </w:r>
            <w:r w:rsidRPr="000B0E8B">
              <w:rPr>
                <w:rtl/>
              </w:rPr>
              <w:t xml:space="preserve"> </w:t>
            </w:r>
            <w:r w:rsidRPr="000B0E8B">
              <w:rPr>
                <w:rFonts w:hint="eastAsia"/>
                <w:rtl/>
              </w:rPr>
              <w:t>משתמשי</w:t>
            </w:r>
            <w:r w:rsidRPr="000B0E8B">
              <w:rPr>
                <w:rtl/>
              </w:rPr>
              <w:t xml:space="preserve"> </w:t>
            </w:r>
            <w:r w:rsidRPr="000B0E8B">
              <w:rPr>
                <w:rFonts w:hint="eastAsia"/>
                <w:rtl/>
              </w:rPr>
              <w:t>הרשת</w:t>
            </w:r>
            <w:r w:rsidRPr="000B0E8B">
              <w:rPr>
                <w:rtl/>
              </w:rPr>
              <w:t xml:space="preserve"> </w:t>
            </w:r>
            <w:r w:rsidRPr="000B0E8B">
              <w:rPr>
                <w:rFonts w:hint="eastAsia"/>
                <w:rtl/>
              </w:rPr>
              <w:t>החברתית</w:t>
            </w:r>
            <w:r w:rsidRPr="000B0E8B">
              <w:rPr>
                <w:rtl/>
              </w:rPr>
              <w:t>;</w:t>
            </w:r>
            <w:r w:rsidRPr="000B0E8B">
              <w:rPr>
                <w:rtl/>
              </w:rPr>
              <w:tab/>
            </w:r>
          </w:p>
        </w:tc>
      </w:tr>
      <w:tr w:rsidR="008E0494" w14:paraId="16CE09AA" w14:textId="77777777" w:rsidTr="00942BAC">
        <w:trPr>
          <w:cantSplit/>
          <w:trHeight w:val="60"/>
        </w:trPr>
        <w:tc>
          <w:tcPr>
            <w:tcW w:w="1869" w:type="dxa"/>
          </w:tcPr>
          <w:p w14:paraId="39A0913D" w14:textId="77777777" w:rsidR="008E0494" w:rsidRDefault="008E0494" w:rsidP="00942BAC">
            <w:pPr>
              <w:pStyle w:val="TableSideHeading"/>
            </w:pPr>
          </w:p>
        </w:tc>
        <w:tc>
          <w:tcPr>
            <w:tcW w:w="624" w:type="dxa"/>
          </w:tcPr>
          <w:p w14:paraId="5FF0A1C8" w14:textId="77777777" w:rsidR="008E0494" w:rsidRDefault="008E0494" w:rsidP="00942BAC">
            <w:pPr>
              <w:pStyle w:val="TableText"/>
            </w:pPr>
          </w:p>
        </w:tc>
        <w:tc>
          <w:tcPr>
            <w:tcW w:w="624" w:type="dxa"/>
          </w:tcPr>
          <w:p w14:paraId="2D7B6095" w14:textId="77777777" w:rsidR="008E0494" w:rsidRDefault="008E0494" w:rsidP="00942BAC">
            <w:pPr>
              <w:pStyle w:val="TableText"/>
            </w:pPr>
          </w:p>
        </w:tc>
        <w:tc>
          <w:tcPr>
            <w:tcW w:w="6521" w:type="dxa"/>
          </w:tcPr>
          <w:p w14:paraId="7134EF52" w14:textId="77777777" w:rsidR="008E0494" w:rsidRPr="000B0E8B" w:rsidRDefault="008E0494" w:rsidP="00942BAC">
            <w:pPr>
              <w:pStyle w:val="TableBlockOutdent"/>
              <w:rPr>
                <w:rtl/>
              </w:rPr>
            </w:pPr>
            <w:r w:rsidRPr="0069228C">
              <w:rPr>
                <w:rFonts w:hint="cs"/>
                <w:rtl/>
              </w:rPr>
              <w:t>(2)</w:t>
            </w:r>
            <w:r w:rsidRPr="0069228C">
              <w:rPr>
                <w:rtl/>
              </w:rPr>
              <w:tab/>
            </w:r>
            <w:r w:rsidRPr="0069228C">
              <w:rPr>
                <w:rFonts w:hint="cs"/>
                <w:rtl/>
              </w:rPr>
              <w:t>שיתוף תוכן עם משתמשים מתוך משתמשי הרשת החברתית</w:t>
            </w:r>
            <w:r w:rsidRPr="000B0E8B">
              <w:rPr>
                <w:rtl/>
              </w:rPr>
              <w:t xml:space="preserve">;  </w:t>
            </w:r>
          </w:p>
        </w:tc>
      </w:tr>
      <w:tr w:rsidR="008E0494" w14:paraId="19ACBDAA" w14:textId="77777777" w:rsidTr="00942BAC">
        <w:trPr>
          <w:cantSplit/>
          <w:trHeight w:val="60"/>
        </w:trPr>
        <w:tc>
          <w:tcPr>
            <w:tcW w:w="1869" w:type="dxa"/>
          </w:tcPr>
          <w:p w14:paraId="79556F62" w14:textId="77777777" w:rsidR="008E0494" w:rsidRDefault="008E0494" w:rsidP="00942BAC">
            <w:pPr>
              <w:pStyle w:val="TableSideHeading"/>
            </w:pPr>
          </w:p>
        </w:tc>
        <w:tc>
          <w:tcPr>
            <w:tcW w:w="624" w:type="dxa"/>
          </w:tcPr>
          <w:p w14:paraId="5D9EFE62" w14:textId="77777777" w:rsidR="008E0494" w:rsidRDefault="008E0494" w:rsidP="00942BAC">
            <w:pPr>
              <w:pStyle w:val="TableText"/>
            </w:pPr>
          </w:p>
        </w:tc>
        <w:tc>
          <w:tcPr>
            <w:tcW w:w="624" w:type="dxa"/>
          </w:tcPr>
          <w:p w14:paraId="3791D224" w14:textId="77777777" w:rsidR="008E0494" w:rsidRDefault="008E0494" w:rsidP="00942BAC">
            <w:pPr>
              <w:pStyle w:val="TableText"/>
            </w:pPr>
          </w:p>
        </w:tc>
        <w:tc>
          <w:tcPr>
            <w:tcW w:w="6521" w:type="dxa"/>
          </w:tcPr>
          <w:p w14:paraId="70376F10" w14:textId="77777777" w:rsidR="008E0494" w:rsidRPr="00CC0E27" w:rsidRDefault="008E0494" w:rsidP="00942BAC">
            <w:pPr>
              <w:pStyle w:val="TableBlock"/>
              <w:rPr>
                <w:rtl/>
              </w:rPr>
            </w:pPr>
            <w:r w:rsidRPr="00CC0E27">
              <w:rPr>
                <w:rFonts w:hint="cs"/>
                <w:rtl/>
              </w:rPr>
              <w:t>(3)</w:t>
            </w:r>
            <w:r w:rsidRPr="00CC0E27">
              <w:rPr>
                <w:rtl/>
              </w:rPr>
              <w:tab/>
            </w:r>
            <w:r w:rsidRPr="00CC0E27">
              <w:rPr>
                <w:rFonts w:hint="cs"/>
                <w:rtl/>
              </w:rPr>
              <w:t>צפייה ברשימת כינויי המשתמשים שהוזנו על ידי כלל משתמשי הרשת החברתית וצפייה בתכנים או בחלק מהם</w:t>
            </w:r>
            <w:r w:rsidRPr="00CC0E27">
              <w:rPr>
                <w:rtl/>
              </w:rPr>
              <w:t xml:space="preserve"> ששותפו בין משתמשי הרשת החברתית;".</w:t>
            </w:r>
          </w:p>
        </w:tc>
      </w:tr>
      <w:tr w:rsidR="008E0494" w14:paraId="3588700B" w14:textId="77777777" w:rsidTr="00942BAC">
        <w:trPr>
          <w:cantSplit/>
        </w:trPr>
        <w:tc>
          <w:tcPr>
            <w:tcW w:w="1869" w:type="dxa"/>
          </w:tcPr>
          <w:p w14:paraId="12F4D82F" w14:textId="77777777" w:rsidR="008E0494" w:rsidRDefault="008E0494" w:rsidP="00942BAC">
            <w:pPr>
              <w:pStyle w:val="TableSideHeading"/>
              <w:keepLines w:val="0"/>
            </w:pPr>
            <w:r>
              <w:rPr>
                <w:rFonts w:hint="cs"/>
                <w:rtl/>
              </w:rPr>
              <w:t>תיקון סעיף 18ב</w:t>
            </w:r>
          </w:p>
        </w:tc>
        <w:tc>
          <w:tcPr>
            <w:tcW w:w="624" w:type="dxa"/>
          </w:tcPr>
          <w:p w14:paraId="56164A1B" w14:textId="77777777" w:rsidR="008E0494" w:rsidRDefault="008E0494" w:rsidP="00942BAC">
            <w:pPr>
              <w:pStyle w:val="TableText"/>
              <w:keepLines w:val="0"/>
            </w:pPr>
            <w:r>
              <w:rPr>
                <w:rFonts w:hint="cs"/>
                <w:rtl/>
              </w:rPr>
              <w:t>2.</w:t>
            </w:r>
          </w:p>
        </w:tc>
        <w:tc>
          <w:tcPr>
            <w:tcW w:w="7145" w:type="dxa"/>
            <w:gridSpan w:val="2"/>
          </w:tcPr>
          <w:p w14:paraId="3025CF24" w14:textId="77777777" w:rsidR="008E0494" w:rsidRPr="000B0E8B" w:rsidRDefault="008E0494" w:rsidP="00942BAC">
            <w:pPr>
              <w:pStyle w:val="TableBlock"/>
              <w:rPr>
                <w:rtl/>
              </w:rPr>
            </w:pPr>
            <w:r>
              <w:rPr>
                <w:rFonts w:hint="cs"/>
                <w:rtl/>
              </w:rPr>
              <w:t>בסעיף 18ב(א) לחוק העיקרי, אחרי "</w:t>
            </w:r>
            <w:r w:rsidRPr="000B0E8B">
              <w:rPr>
                <w:rtl/>
              </w:rPr>
              <w:t>עוסק המנוי בתוספת השניה</w:t>
            </w:r>
            <w:r>
              <w:rPr>
                <w:rFonts w:hint="cs"/>
                <w:rtl/>
              </w:rPr>
              <w:t>" יבוא "או מפעיל רשת חברתית מקוונת".</w:t>
            </w:r>
          </w:p>
        </w:tc>
      </w:tr>
    </w:tbl>
    <w:p w14:paraId="7F6961AE" w14:textId="77777777" w:rsidR="00E13C27" w:rsidRPr="008E0494" w:rsidRDefault="00E13C27" w:rsidP="0021633A">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t>דברי הסבר</w:t>
      </w:r>
    </w:p>
    <w:p w14:paraId="7E2B5E0E" w14:textId="7932A749" w:rsidR="008E0494" w:rsidRPr="0069228C" w:rsidRDefault="008E0494" w:rsidP="008E0494">
      <w:pPr>
        <w:pStyle w:val="Hesber"/>
        <w:rPr>
          <w:rtl/>
        </w:rPr>
      </w:pPr>
      <w:r w:rsidRPr="0069228C">
        <w:rPr>
          <w:rFonts w:hint="cs"/>
          <w:rtl/>
        </w:rPr>
        <w:t>בשנים האחרונות גובר השימוש ברשתות החברתיות ככלי תקשורת עיקרי. השימוש ברשת החברתית חוצה גילאים ומגזרים ו</w:t>
      </w:r>
      <w:r w:rsidRPr="0069228C">
        <w:rPr>
          <w:rFonts w:hint="eastAsia"/>
          <w:rtl/>
        </w:rPr>
        <w:t>הפך</w:t>
      </w:r>
      <w:r w:rsidRPr="0069228C">
        <w:rPr>
          <w:rtl/>
        </w:rPr>
        <w:t xml:space="preserve"> עם השנים למצרך המצוי בכל בית אב. הופעתן של הרשתות החברתיות בעידן הטכנולוגי החדש והשימוש הגובר בהן הביאו </w:t>
      </w:r>
      <w:r>
        <w:rPr>
          <w:rFonts w:hint="cs"/>
          <w:rtl/>
        </w:rPr>
        <w:t>ל</w:t>
      </w:r>
      <w:r w:rsidRPr="0069228C">
        <w:rPr>
          <w:rFonts w:hint="cs"/>
          <w:rtl/>
        </w:rPr>
        <w:t>תמורות רבות בשיח ובתקשורת</w:t>
      </w:r>
      <w:r w:rsidR="004231EC">
        <w:rPr>
          <w:rFonts w:hint="cs"/>
          <w:rtl/>
        </w:rPr>
        <w:t>,</w:t>
      </w:r>
      <w:r w:rsidRPr="0069228C">
        <w:rPr>
          <w:rFonts w:hint="cs"/>
          <w:rtl/>
        </w:rPr>
        <w:t xml:space="preserve"> וכל צרכן מצא עצמו מתמודד עם אתגרים, פרסומים אודותיו שביקש להסיר, איסוף מידע אודותיו ואף תקלות. בעוד יצרנים </w:t>
      </w:r>
      <w:r w:rsidRPr="0069228C">
        <w:rPr>
          <w:rFonts w:hint="cs"/>
          <w:rtl/>
        </w:rPr>
        <w:lastRenderedPageBreak/>
        <w:t>ותאגידי תקשורת מספקים שירות לק</w:t>
      </w:r>
      <w:r w:rsidRPr="0069228C">
        <w:rPr>
          <w:rFonts w:hint="eastAsia"/>
          <w:rtl/>
        </w:rPr>
        <w:t>וחות</w:t>
      </w:r>
      <w:r w:rsidRPr="0069228C">
        <w:rPr>
          <w:rtl/>
        </w:rPr>
        <w:t xml:space="preserve"> לצרכנים אשר מספק מענה אנושי לתקלות, תלונות ובעיות כאמור, הרשתות החברתיות מקשות על המשתמשים בהן ליצור קשר ישיר עם החברה. התוצאה הינה כי אדם המבקש להלין על דבר מה ברשת או מי שנדרש להתמודד עם תקלה נאלץ לעשות כן רק על ידי שימוש בכלי הדיווח שמספקת הרשת החברתית. </w:t>
      </w:r>
    </w:p>
    <w:p w14:paraId="60C44DE6" w14:textId="712A176A" w:rsidR="008E0494" w:rsidRPr="0069228C" w:rsidRDefault="008E0494" w:rsidP="004231EC">
      <w:pPr>
        <w:pStyle w:val="Hesber"/>
        <w:rPr>
          <w:rtl/>
        </w:rPr>
      </w:pPr>
      <w:r w:rsidRPr="0069228C">
        <w:rPr>
          <w:rFonts w:hint="eastAsia"/>
          <w:rtl/>
        </w:rPr>
        <w:t>ואולם</w:t>
      </w:r>
      <w:r w:rsidRPr="0069228C">
        <w:rPr>
          <w:rtl/>
        </w:rPr>
        <w:t xml:space="preserve">, </w:t>
      </w:r>
      <w:r w:rsidRPr="0069228C">
        <w:rPr>
          <w:rFonts w:hint="eastAsia"/>
          <w:rtl/>
        </w:rPr>
        <w:t>כלי</w:t>
      </w:r>
      <w:r w:rsidRPr="0069228C">
        <w:rPr>
          <w:rtl/>
        </w:rPr>
        <w:t xml:space="preserve"> </w:t>
      </w:r>
      <w:r w:rsidRPr="0069228C">
        <w:rPr>
          <w:rFonts w:hint="eastAsia"/>
          <w:rtl/>
        </w:rPr>
        <w:t>הדיווח</w:t>
      </w:r>
      <w:r w:rsidRPr="0069228C">
        <w:rPr>
          <w:rtl/>
        </w:rPr>
        <w:t xml:space="preserve"> </w:t>
      </w:r>
      <w:r w:rsidRPr="0069228C">
        <w:rPr>
          <w:rFonts w:hint="eastAsia"/>
          <w:rtl/>
        </w:rPr>
        <w:t>המצויים</w:t>
      </w:r>
      <w:r w:rsidRPr="0069228C">
        <w:rPr>
          <w:rtl/>
        </w:rPr>
        <w:t xml:space="preserve"> </w:t>
      </w:r>
      <w:r w:rsidRPr="0069228C">
        <w:rPr>
          <w:rFonts w:hint="eastAsia"/>
          <w:rtl/>
        </w:rPr>
        <w:t>בידי</w:t>
      </w:r>
      <w:r w:rsidRPr="0069228C">
        <w:rPr>
          <w:rtl/>
        </w:rPr>
        <w:t xml:space="preserve"> </w:t>
      </w:r>
      <w:r w:rsidRPr="0069228C">
        <w:rPr>
          <w:rFonts w:hint="eastAsia"/>
          <w:rtl/>
        </w:rPr>
        <w:t>הרשת</w:t>
      </w:r>
      <w:r w:rsidRPr="0069228C">
        <w:rPr>
          <w:rtl/>
        </w:rPr>
        <w:t xml:space="preserve"> </w:t>
      </w:r>
      <w:r w:rsidRPr="0069228C">
        <w:rPr>
          <w:rFonts w:hint="eastAsia"/>
          <w:rtl/>
        </w:rPr>
        <w:t>אינם</w:t>
      </w:r>
      <w:r w:rsidRPr="0069228C">
        <w:rPr>
          <w:rtl/>
        </w:rPr>
        <w:t xml:space="preserve"> </w:t>
      </w:r>
      <w:r w:rsidRPr="0069228C">
        <w:rPr>
          <w:rFonts w:hint="eastAsia"/>
          <w:rtl/>
        </w:rPr>
        <w:t>מספקים</w:t>
      </w:r>
      <w:r w:rsidRPr="0069228C">
        <w:rPr>
          <w:rtl/>
        </w:rPr>
        <w:t xml:space="preserve"> </w:t>
      </w:r>
      <w:r w:rsidRPr="0069228C">
        <w:rPr>
          <w:rFonts w:hint="eastAsia"/>
          <w:rtl/>
        </w:rPr>
        <w:t>את</w:t>
      </w:r>
      <w:r w:rsidRPr="0069228C">
        <w:rPr>
          <w:rtl/>
        </w:rPr>
        <w:t xml:space="preserve"> </w:t>
      </w:r>
      <w:r w:rsidRPr="0069228C">
        <w:rPr>
          <w:rFonts w:hint="eastAsia"/>
          <w:rtl/>
        </w:rPr>
        <w:t>המענה</w:t>
      </w:r>
      <w:r w:rsidRPr="0069228C">
        <w:rPr>
          <w:rtl/>
        </w:rPr>
        <w:t xml:space="preserve"> </w:t>
      </w:r>
      <w:r w:rsidRPr="0069228C">
        <w:rPr>
          <w:rFonts w:hint="eastAsia"/>
          <w:rtl/>
        </w:rPr>
        <w:t>הנדרש</w:t>
      </w:r>
      <w:r w:rsidRPr="0069228C">
        <w:rPr>
          <w:rtl/>
        </w:rPr>
        <w:t xml:space="preserve">. </w:t>
      </w:r>
      <w:r w:rsidRPr="0069228C">
        <w:rPr>
          <w:rFonts w:hint="eastAsia"/>
          <w:rtl/>
        </w:rPr>
        <w:t>לא</w:t>
      </w:r>
      <w:r w:rsidRPr="0069228C">
        <w:rPr>
          <w:rtl/>
        </w:rPr>
        <w:t xml:space="preserve"> </w:t>
      </w:r>
      <w:r w:rsidRPr="0069228C">
        <w:rPr>
          <w:rFonts w:hint="eastAsia"/>
          <w:rtl/>
        </w:rPr>
        <w:t>אחת</w:t>
      </w:r>
      <w:r w:rsidRPr="0069228C">
        <w:rPr>
          <w:rtl/>
        </w:rPr>
        <w:t xml:space="preserve"> </w:t>
      </w:r>
      <w:r w:rsidRPr="0069228C">
        <w:rPr>
          <w:rFonts w:hint="eastAsia"/>
          <w:rtl/>
        </w:rPr>
        <w:t>מדובר</w:t>
      </w:r>
      <w:r w:rsidRPr="0069228C">
        <w:rPr>
          <w:rtl/>
        </w:rPr>
        <w:t xml:space="preserve"> </w:t>
      </w:r>
      <w:r w:rsidRPr="0069228C">
        <w:rPr>
          <w:rFonts w:hint="eastAsia"/>
          <w:rtl/>
        </w:rPr>
        <w:t>בכלי</w:t>
      </w:r>
      <w:r w:rsidRPr="0069228C">
        <w:rPr>
          <w:rtl/>
        </w:rPr>
        <w:t xml:space="preserve"> </w:t>
      </w:r>
      <w:r w:rsidRPr="0069228C">
        <w:rPr>
          <w:rFonts w:hint="eastAsia"/>
          <w:rtl/>
        </w:rPr>
        <w:t>דיווח</w:t>
      </w:r>
      <w:r w:rsidRPr="0069228C">
        <w:rPr>
          <w:rtl/>
        </w:rPr>
        <w:t xml:space="preserve"> </w:t>
      </w:r>
      <w:r w:rsidRPr="0069228C">
        <w:rPr>
          <w:rFonts w:hint="eastAsia"/>
          <w:rtl/>
        </w:rPr>
        <w:t>מסורבלים</w:t>
      </w:r>
      <w:r w:rsidRPr="0069228C">
        <w:rPr>
          <w:rtl/>
        </w:rPr>
        <w:t xml:space="preserve">, </w:t>
      </w:r>
      <w:r w:rsidRPr="0069228C">
        <w:rPr>
          <w:rFonts w:hint="eastAsia"/>
          <w:rtl/>
        </w:rPr>
        <w:t>בלתי</w:t>
      </w:r>
      <w:r w:rsidRPr="0069228C">
        <w:rPr>
          <w:rtl/>
        </w:rPr>
        <w:t xml:space="preserve"> </w:t>
      </w:r>
      <w:r w:rsidRPr="0069228C">
        <w:rPr>
          <w:rFonts w:hint="eastAsia"/>
          <w:rtl/>
        </w:rPr>
        <w:t>ברורים</w:t>
      </w:r>
      <w:r w:rsidRPr="0069228C">
        <w:rPr>
          <w:rtl/>
        </w:rPr>
        <w:t xml:space="preserve">, לאקוניים, אשר אינם נוחים למשתמש ולא עונים על בקשתו. היות </w:t>
      </w:r>
      <w:r w:rsidR="004231EC">
        <w:rPr>
          <w:rFonts w:hint="cs"/>
          <w:rtl/>
        </w:rPr>
        <w:t>ש</w:t>
      </w:r>
      <w:r w:rsidRPr="0069228C">
        <w:rPr>
          <w:rtl/>
        </w:rPr>
        <w:t>על פי רוב מדובר בדיווח על פי שיטת בחירה בין אפשרויות מוגדרות מראש</w:t>
      </w:r>
      <w:r>
        <w:rPr>
          <w:rFonts w:hint="cs"/>
          <w:rtl/>
        </w:rPr>
        <w:t>,</w:t>
      </w:r>
      <w:r w:rsidRPr="0069228C">
        <w:rPr>
          <w:rtl/>
        </w:rPr>
        <w:t xml:space="preserve"> </w:t>
      </w:r>
      <w:r w:rsidR="004231EC">
        <w:rPr>
          <w:rFonts w:hint="cs"/>
          <w:rtl/>
        </w:rPr>
        <w:t>במקרים</w:t>
      </w:r>
      <w:r w:rsidR="004231EC" w:rsidRPr="0069228C">
        <w:rPr>
          <w:rtl/>
        </w:rPr>
        <w:t xml:space="preserve"> </w:t>
      </w:r>
      <w:r w:rsidR="004231EC">
        <w:rPr>
          <w:rFonts w:hint="cs"/>
          <w:rtl/>
        </w:rPr>
        <w:t>רבים</w:t>
      </w:r>
      <w:r w:rsidR="004231EC" w:rsidRPr="0069228C">
        <w:rPr>
          <w:rtl/>
        </w:rPr>
        <w:t xml:space="preserve"> </w:t>
      </w:r>
      <w:r w:rsidRPr="0069228C">
        <w:rPr>
          <w:rtl/>
        </w:rPr>
        <w:t>האפשרויות הקיימות לא מספיקות</w:t>
      </w:r>
      <w:r>
        <w:rPr>
          <w:rFonts w:hint="cs"/>
          <w:rtl/>
        </w:rPr>
        <w:t>,</w:t>
      </w:r>
      <w:r w:rsidRPr="0069228C">
        <w:rPr>
          <w:rtl/>
        </w:rPr>
        <w:t xml:space="preserve"> והצרכן לא מוצא את האפשרות המתאימה לו. כמו כן, בהיעדר מענה או תגובה מן החברה, אין למשתמש יכולת לדעת האם דבריו התקבלו, מטופלים ומה עליו לעשות. הצרכן אשר מבקש לדווח, מוצא עצמו פעמים רבות מול שוקת שבורה והדברים יפים קל וחומר כאשר מדובר במי שמבקש לדווח על פגיעה חמורה בו, כגון בריונות, אלימות, פרסום תמונות פרטיות, </w:t>
      </w:r>
      <w:r w:rsidRPr="0069228C">
        <w:rPr>
          <w:rFonts w:hint="eastAsia"/>
          <w:rtl/>
        </w:rPr>
        <w:t>הסרת</w:t>
      </w:r>
      <w:r w:rsidRPr="0069228C">
        <w:rPr>
          <w:rtl/>
        </w:rPr>
        <w:t xml:space="preserve"> </w:t>
      </w:r>
      <w:r w:rsidRPr="0069228C">
        <w:rPr>
          <w:rFonts w:hint="eastAsia"/>
          <w:rtl/>
        </w:rPr>
        <w:t>פוסט</w:t>
      </w:r>
      <w:r w:rsidRPr="0069228C">
        <w:rPr>
          <w:rtl/>
        </w:rPr>
        <w:t xml:space="preserve"> וכיו</w:t>
      </w:r>
      <w:r>
        <w:rPr>
          <w:rFonts w:hint="cs"/>
          <w:rtl/>
        </w:rPr>
        <w:t>צא בזה</w:t>
      </w:r>
      <w:r w:rsidRPr="0069228C">
        <w:rPr>
          <w:rtl/>
        </w:rPr>
        <w:t xml:space="preserve">. </w:t>
      </w:r>
    </w:p>
    <w:p w14:paraId="65ED527C" w14:textId="790C0D9C" w:rsidR="008E0494" w:rsidRDefault="008E0494" w:rsidP="008E0494">
      <w:pPr>
        <w:pStyle w:val="Hesber"/>
        <w:rPr>
          <w:rtl/>
        </w:rPr>
      </w:pPr>
      <w:r w:rsidRPr="0069228C">
        <w:rPr>
          <w:rFonts w:hint="eastAsia"/>
          <w:rtl/>
        </w:rPr>
        <w:t>חוק</w:t>
      </w:r>
      <w:r w:rsidRPr="0069228C">
        <w:rPr>
          <w:rtl/>
        </w:rPr>
        <w:t xml:space="preserve"> </w:t>
      </w:r>
      <w:r w:rsidRPr="0069228C">
        <w:rPr>
          <w:rFonts w:hint="eastAsia"/>
          <w:rtl/>
        </w:rPr>
        <w:t>הגנת</w:t>
      </w:r>
      <w:r w:rsidRPr="0069228C">
        <w:rPr>
          <w:rtl/>
        </w:rPr>
        <w:t xml:space="preserve"> </w:t>
      </w:r>
      <w:r w:rsidRPr="0069228C">
        <w:rPr>
          <w:rFonts w:hint="eastAsia"/>
          <w:rtl/>
        </w:rPr>
        <w:t>הצרכן</w:t>
      </w:r>
      <w:r>
        <w:rPr>
          <w:rFonts w:hint="cs"/>
          <w:rtl/>
        </w:rPr>
        <w:t>, התשמ"א</w:t>
      </w:r>
      <w:r>
        <w:rPr>
          <w:rFonts w:hint="eastAsia"/>
          <w:rtl/>
        </w:rPr>
        <w:t>–</w:t>
      </w:r>
      <w:r>
        <w:rPr>
          <w:rFonts w:hint="cs"/>
          <w:rtl/>
        </w:rPr>
        <w:t xml:space="preserve">1981 (להלן </w:t>
      </w:r>
      <w:r>
        <w:rPr>
          <w:rtl/>
        </w:rPr>
        <w:t>–</w:t>
      </w:r>
      <w:r>
        <w:rPr>
          <w:rFonts w:hint="cs"/>
          <w:rtl/>
        </w:rPr>
        <w:t xml:space="preserve"> החוק),</w:t>
      </w:r>
      <w:r w:rsidRPr="0069228C">
        <w:rPr>
          <w:rtl/>
        </w:rPr>
        <w:t xml:space="preserve"> הכיר זה מכבר בחובה של גופי תקשורת לספק מענה טלפוני אנושי חינם לצרכנים. כך</w:t>
      </w:r>
      <w:r>
        <w:rPr>
          <w:rFonts w:hint="cs"/>
          <w:rtl/>
        </w:rPr>
        <w:t>,</w:t>
      </w:r>
      <w:r w:rsidRPr="0069228C">
        <w:rPr>
          <w:rtl/>
        </w:rPr>
        <w:t xml:space="preserve"> </w:t>
      </w:r>
      <w:r>
        <w:rPr>
          <w:rFonts w:hint="cs"/>
          <w:rtl/>
        </w:rPr>
        <w:t>בסעיף 18ב לחוק</w:t>
      </w:r>
      <w:r w:rsidRPr="0069228C">
        <w:rPr>
          <w:rtl/>
        </w:rPr>
        <w:t xml:space="preserve"> </w:t>
      </w:r>
      <w:r>
        <w:rPr>
          <w:rFonts w:hint="cs"/>
          <w:rtl/>
        </w:rPr>
        <w:t>נ</w:t>
      </w:r>
      <w:r w:rsidRPr="0069228C">
        <w:rPr>
          <w:rFonts w:hint="eastAsia"/>
          <w:rtl/>
        </w:rPr>
        <w:t>קבע</w:t>
      </w:r>
      <w:r w:rsidRPr="0069228C">
        <w:rPr>
          <w:rtl/>
        </w:rPr>
        <w:t xml:space="preserve"> כי</w:t>
      </w:r>
      <w:r>
        <w:rPr>
          <w:rFonts w:hint="cs"/>
          <w:rtl/>
        </w:rPr>
        <w:t xml:space="preserve"> עוסקים המנויים בתוספת השנייה, ובהם</w:t>
      </w:r>
      <w:r w:rsidRPr="0069228C">
        <w:rPr>
          <w:rtl/>
        </w:rPr>
        <w:t xml:space="preserve"> בעל רישיון למתן שירותי בזק, שירותי רדיו, טלפון  וכבלים, שירותי לוויין ואף מי שמספק שירותי גישה לאינטרנט</w:t>
      </w:r>
      <w:r>
        <w:rPr>
          <w:rFonts w:hint="cs"/>
          <w:rtl/>
        </w:rPr>
        <w:t>,</w:t>
      </w:r>
      <w:r w:rsidRPr="0069228C">
        <w:rPr>
          <w:rtl/>
        </w:rPr>
        <w:t xml:space="preserve"> יספק</w:t>
      </w:r>
      <w:r w:rsidR="004231EC">
        <w:rPr>
          <w:rFonts w:hint="cs"/>
          <w:rtl/>
        </w:rPr>
        <w:t>ו</w:t>
      </w:r>
      <w:r w:rsidRPr="0069228C">
        <w:rPr>
          <w:rtl/>
        </w:rPr>
        <w:t xml:space="preserve"> שירות טלפוני לצרכן אשר יכלול אף מענה אנושי. לפיכך, אין הצדקה כי הרשתות החברתיות אשר מהוות בעידן החדש אמצעי תקשורת עיקרי </w:t>
      </w:r>
      <w:r w:rsidRPr="0069228C">
        <w:rPr>
          <w:rFonts w:hint="eastAsia"/>
          <w:rtl/>
        </w:rPr>
        <w:t>בדומה</w:t>
      </w:r>
      <w:r w:rsidRPr="0069228C">
        <w:rPr>
          <w:rtl/>
        </w:rPr>
        <w:t xml:space="preserve"> </w:t>
      </w:r>
      <w:r w:rsidRPr="0069228C">
        <w:rPr>
          <w:rFonts w:hint="eastAsia"/>
          <w:rtl/>
        </w:rPr>
        <w:t>לשירותי</w:t>
      </w:r>
      <w:r w:rsidRPr="0069228C">
        <w:rPr>
          <w:rtl/>
        </w:rPr>
        <w:t xml:space="preserve"> </w:t>
      </w:r>
      <w:r w:rsidRPr="0069228C">
        <w:rPr>
          <w:rFonts w:hint="eastAsia"/>
          <w:rtl/>
        </w:rPr>
        <w:t>בזק</w:t>
      </w:r>
      <w:r w:rsidRPr="0069228C">
        <w:rPr>
          <w:rtl/>
        </w:rPr>
        <w:t xml:space="preserve"> </w:t>
      </w:r>
      <w:r w:rsidRPr="0069228C">
        <w:rPr>
          <w:rFonts w:hint="eastAsia"/>
          <w:rtl/>
        </w:rPr>
        <w:t>ושירותי</w:t>
      </w:r>
      <w:r w:rsidRPr="0069228C">
        <w:rPr>
          <w:rtl/>
        </w:rPr>
        <w:t xml:space="preserve"> </w:t>
      </w:r>
      <w:r w:rsidRPr="0069228C">
        <w:rPr>
          <w:rFonts w:hint="eastAsia"/>
          <w:rtl/>
        </w:rPr>
        <w:t>האינטרנט</w:t>
      </w:r>
      <w:r w:rsidRPr="0069228C">
        <w:rPr>
          <w:rtl/>
        </w:rPr>
        <w:t>, י</w:t>
      </w:r>
      <w:r w:rsidR="004231EC">
        <w:rPr>
          <w:rFonts w:hint="cs"/>
          <w:rtl/>
        </w:rPr>
        <w:t>י</w:t>
      </w:r>
      <w:r w:rsidRPr="0069228C">
        <w:rPr>
          <w:rtl/>
        </w:rPr>
        <w:t xml:space="preserve">מנעו מלספק שירות לקוחות טלפוני לצרכנים כאמור. </w:t>
      </w:r>
    </w:p>
    <w:p w14:paraId="5C824865" w14:textId="304AE7FF" w:rsidR="008E0494" w:rsidRDefault="008E0494" w:rsidP="004231EC">
      <w:pPr>
        <w:pStyle w:val="Hesber"/>
        <w:rPr>
          <w:rtl/>
        </w:rPr>
      </w:pPr>
      <w:r w:rsidRPr="0069228C">
        <w:rPr>
          <w:rFonts w:hint="eastAsia"/>
          <w:rtl/>
        </w:rPr>
        <w:t>על</w:t>
      </w:r>
      <w:r w:rsidRPr="0069228C">
        <w:rPr>
          <w:rtl/>
        </w:rPr>
        <w:t xml:space="preserve"> </w:t>
      </w:r>
      <w:r w:rsidRPr="0069228C">
        <w:rPr>
          <w:rFonts w:hint="eastAsia"/>
          <w:rtl/>
        </w:rPr>
        <w:t>כן</w:t>
      </w:r>
      <w:r>
        <w:rPr>
          <w:rFonts w:hint="cs"/>
          <w:rtl/>
        </w:rPr>
        <w:t>,</w:t>
      </w:r>
      <w:r w:rsidRPr="0069228C">
        <w:rPr>
          <w:rtl/>
        </w:rPr>
        <w:t xml:space="preserve"> מוצע </w:t>
      </w:r>
      <w:r w:rsidRPr="0069228C">
        <w:rPr>
          <w:rFonts w:hint="eastAsia"/>
          <w:rtl/>
        </w:rPr>
        <w:t>להחיל</w:t>
      </w:r>
      <w:r w:rsidRPr="0069228C">
        <w:rPr>
          <w:rtl/>
        </w:rPr>
        <w:t xml:space="preserve"> </w:t>
      </w:r>
      <w:r w:rsidRPr="0069228C">
        <w:rPr>
          <w:rFonts w:hint="eastAsia"/>
          <w:rtl/>
        </w:rPr>
        <w:t>את</w:t>
      </w:r>
      <w:r w:rsidRPr="0069228C">
        <w:rPr>
          <w:rtl/>
        </w:rPr>
        <w:t xml:space="preserve"> </w:t>
      </w:r>
      <w:r w:rsidRPr="0069228C">
        <w:rPr>
          <w:rFonts w:hint="eastAsia"/>
          <w:rtl/>
        </w:rPr>
        <w:t>החובה</w:t>
      </w:r>
      <w:r w:rsidRPr="0069228C">
        <w:rPr>
          <w:rtl/>
        </w:rPr>
        <w:t xml:space="preserve"> </w:t>
      </w:r>
      <w:r w:rsidRPr="0069228C">
        <w:rPr>
          <w:rFonts w:hint="eastAsia"/>
          <w:rtl/>
        </w:rPr>
        <w:t>הקיימת</w:t>
      </w:r>
      <w:r w:rsidRPr="0069228C">
        <w:rPr>
          <w:rtl/>
        </w:rPr>
        <w:t xml:space="preserve"> </w:t>
      </w:r>
      <w:r>
        <w:rPr>
          <w:rFonts w:hint="cs"/>
          <w:rtl/>
        </w:rPr>
        <w:t>בסעיף 18ב האמור</w:t>
      </w:r>
      <w:r w:rsidRPr="0069228C">
        <w:rPr>
          <w:rtl/>
        </w:rPr>
        <w:t xml:space="preserve"> </w:t>
      </w:r>
      <w:r w:rsidRPr="0069228C">
        <w:rPr>
          <w:rFonts w:hint="eastAsia"/>
          <w:rtl/>
        </w:rPr>
        <w:t>גם</w:t>
      </w:r>
      <w:r w:rsidRPr="0069228C">
        <w:rPr>
          <w:rtl/>
        </w:rPr>
        <w:t xml:space="preserve"> </w:t>
      </w:r>
      <w:r w:rsidRPr="0069228C">
        <w:rPr>
          <w:rFonts w:hint="eastAsia"/>
          <w:rtl/>
        </w:rPr>
        <w:t>על</w:t>
      </w:r>
      <w:r w:rsidRPr="0069228C">
        <w:rPr>
          <w:rtl/>
        </w:rPr>
        <w:t xml:space="preserve"> </w:t>
      </w:r>
      <w:r w:rsidRPr="0069228C">
        <w:rPr>
          <w:rFonts w:hint="eastAsia"/>
          <w:rtl/>
        </w:rPr>
        <w:t>הרשתות</w:t>
      </w:r>
      <w:r w:rsidRPr="0069228C">
        <w:rPr>
          <w:rtl/>
        </w:rPr>
        <w:t xml:space="preserve"> </w:t>
      </w:r>
      <w:r w:rsidRPr="0069228C">
        <w:rPr>
          <w:rFonts w:hint="eastAsia"/>
          <w:rtl/>
        </w:rPr>
        <w:t>החברתיות</w:t>
      </w:r>
      <w:r>
        <w:rPr>
          <w:rFonts w:hint="cs"/>
          <w:rtl/>
        </w:rPr>
        <w:t>, כך שה</w:t>
      </w:r>
      <w:r w:rsidR="004231EC">
        <w:rPr>
          <w:rFonts w:hint="cs"/>
          <w:rtl/>
        </w:rPr>
        <w:t>ן</w:t>
      </w:r>
      <w:r>
        <w:rPr>
          <w:rFonts w:hint="cs"/>
          <w:rtl/>
        </w:rPr>
        <w:t xml:space="preserve"> יהיו </w:t>
      </w:r>
      <w:r w:rsidR="004231EC">
        <w:rPr>
          <w:rFonts w:hint="cs"/>
          <w:rtl/>
        </w:rPr>
        <w:t>חייבות</w:t>
      </w:r>
      <w:r w:rsidR="004231EC" w:rsidRPr="0069228C">
        <w:rPr>
          <w:rtl/>
        </w:rPr>
        <w:t xml:space="preserve"> </w:t>
      </w:r>
      <w:r w:rsidRPr="0069228C">
        <w:rPr>
          <w:rFonts w:hint="eastAsia"/>
          <w:rtl/>
        </w:rPr>
        <w:t>לספק</w:t>
      </w:r>
      <w:r w:rsidRPr="0069228C">
        <w:rPr>
          <w:rtl/>
        </w:rPr>
        <w:t xml:space="preserve"> </w:t>
      </w:r>
      <w:r w:rsidRPr="0069228C">
        <w:rPr>
          <w:rFonts w:hint="eastAsia"/>
          <w:rtl/>
        </w:rPr>
        <w:t>מענה</w:t>
      </w:r>
      <w:r w:rsidRPr="0069228C">
        <w:rPr>
          <w:rtl/>
        </w:rPr>
        <w:t xml:space="preserve"> </w:t>
      </w:r>
      <w:r w:rsidRPr="0069228C">
        <w:rPr>
          <w:rFonts w:hint="eastAsia"/>
          <w:rtl/>
        </w:rPr>
        <w:t>טלפוני</w:t>
      </w:r>
      <w:r w:rsidRPr="0069228C">
        <w:rPr>
          <w:rtl/>
        </w:rPr>
        <w:t xml:space="preserve"> </w:t>
      </w:r>
      <w:r w:rsidRPr="0069228C">
        <w:rPr>
          <w:rFonts w:hint="eastAsia"/>
          <w:rtl/>
        </w:rPr>
        <w:t>אנושי</w:t>
      </w:r>
      <w:r w:rsidR="004231EC">
        <w:rPr>
          <w:rFonts w:hint="cs"/>
          <w:rtl/>
        </w:rPr>
        <w:t xml:space="preserve"> </w:t>
      </w:r>
      <w:r>
        <w:rPr>
          <w:rFonts w:hint="cs"/>
          <w:rtl/>
        </w:rPr>
        <w:t>ולהעמיד</w:t>
      </w:r>
      <w:r w:rsidRPr="0069228C">
        <w:rPr>
          <w:rtl/>
        </w:rPr>
        <w:t xml:space="preserve"> </w:t>
      </w:r>
      <w:r>
        <w:rPr>
          <w:rFonts w:hint="cs"/>
          <w:rtl/>
        </w:rPr>
        <w:t xml:space="preserve">את </w:t>
      </w:r>
      <w:r w:rsidRPr="0069228C">
        <w:rPr>
          <w:rFonts w:hint="eastAsia"/>
          <w:rtl/>
        </w:rPr>
        <w:t>המידע</w:t>
      </w:r>
      <w:r w:rsidRPr="0069228C">
        <w:rPr>
          <w:rtl/>
        </w:rPr>
        <w:t xml:space="preserve"> </w:t>
      </w:r>
      <w:r w:rsidRPr="0069228C">
        <w:rPr>
          <w:rFonts w:hint="eastAsia"/>
          <w:rtl/>
        </w:rPr>
        <w:t>בדבר</w:t>
      </w:r>
      <w:r w:rsidRPr="0069228C">
        <w:rPr>
          <w:rtl/>
        </w:rPr>
        <w:t xml:space="preserve"> </w:t>
      </w:r>
      <w:r w:rsidRPr="0069228C">
        <w:rPr>
          <w:rFonts w:hint="eastAsia"/>
          <w:rtl/>
        </w:rPr>
        <w:t>השירות</w:t>
      </w:r>
      <w:r w:rsidRPr="0069228C">
        <w:rPr>
          <w:rtl/>
        </w:rPr>
        <w:t xml:space="preserve"> </w:t>
      </w:r>
      <w:r w:rsidRPr="0069228C">
        <w:rPr>
          <w:rFonts w:hint="eastAsia"/>
          <w:rtl/>
        </w:rPr>
        <w:t>הטלפוני</w:t>
      </w:r>
      <w:r w:rsidRPr="0069228C">
        <w:rPr>
          <w:rtl/>
        </w:rPr>
        <w:t xml:space="preserve"> </w:t>
      </w:r>
      <w:r w:rsidRPr="0069228C">
        <w:rPr>
          <w:rFonts w:hint="eastAsia"/>
          <w:rtl/>
        </w:rPr>
        <w:t>באופן</w:t>
      </w:r>
      <w:r w:rsidRPr="0069228C">
        <w:rPr>
          <w:rtl/>
        </w:rPr>
        <w:t xml:space="preserve"> </w:t>
      </w:r>
      <w:r w:rsidRPr="0069228C">
        <w:rPr>
          <w:rFonts w:hint="eastAsia"/>
          <w:rtl/>
        </w:rPr>
        <w:t>גלוי</w:t>
      </w:r>
      <w:r w:rsidRPr="0069228C">
        <w:rPr>
          <w:rtl/>
        </w:rPr>
        <w:t xml:space="preserve"> </w:t>
      </w:r>
      <w:r w:rsidRPr="0069228C">
        <w:rPr>
          <w:rFonts w:hint="eastAsia"/>
          <w:rtl/>
        </w:rPr>
        <w:t>וברור</w:t>
      </w:r>
      <w:r w:rsidRPr="0069228C">
        <w:rPr>
          <w:rtl/>
        </w:rPr>
        <w:t xml:space="preserve"> </w:t>
      </w:r>
      <w:r w:rsidRPr="0069228C">
        <w:rPr>
          <w:rFonts w:hint="eastAsia"/>
          <w:rtl/>
        </w:rPr>
        <w:t>לצרכן</w:t>
      </w:r>
      <w:r w:rsidRPr="0069228C">
        <w:rPr>
          <w:rtl/>
        </w:rPr>
        <w:t xml:space="preserve">, </w:t>
      </w:r>
      <w:r w:rsidRPr="0069228C">
        <w:rPr>
          <w:rFonts w:hint="eastAsia"/>
          <w:rtl/>
        </w:rPr>
        <w:t>כך</w:t>
      </w:r>
      <w:r w:rsidRPr="0069228C">
        <w:rPr>
          <w:rtl/>
        </w:rPr>
        <w:t xml:space="preserve"> </w:t>
      </w:r>
      <w:r w:rsidRPr="0069228C">
        <w:rPr>
          <w:rFonts w:hint="eastAsia"/>
          <w:rtl/>
        </w:rPr>
        <w:t>שהדבר</w:t>
      </w:r>
      <w:r w:rsidRPr="0069228C">
        <w:rPr>
          <w:rtl/>
        </w:rPr>
        <w:t xml:space="preserve"> </w:t>
      </w:r>
      <w:r w:rsidRPr="0069228C">
        <w:rPr>
          <w:rFonts w:hint="eastAsia"/>
          <w:rtl/>
        </w:rPr>
        <w:t>יובא</w:t>
      </w:r>
      <w:r w:rsidRPr="0069228C">
        <w:rPr>
          <w:rtl/>
        </w:rPr>
        <w:t xml:space="preserve"> </w:t>
      </w:r>
      <w:r w:rsidRPr="0069228C">
        <w:rPr>
          <w:rFonts w:hint="eastAsia"/>
          <w:rtl/>
        </w:rPr>
        <w:t>לידיעת</w:t>
      </w:r>
      <w:r w:rsidRPr="0069228C">
        <w:rPr>
          <w:rtl/>
        </w:rPr>
        <w:t xml:space="preserve"> </w:t>
      </w:r>
      <w:r w:rsidRPr="0069228C">
        <w:rPr>
          <w:rFonts w:hint="eastAsia"/>
          <w:rtl/>
        </w:rPr>
        <w:t>כלל</w:t>
      </w:r>
      <w:r w:rsidRPr="0069228C">
        <w:rPr>
          <w:rtl/>
        </w:rPr>
        <w:t xml:space="preserve"> </w:t>
      </w:r>
      <w:r w:rsidRPr="0069228C">
        <w:rPr>
          <w:rFonts w:hint="eastAsia"/>
          <w:rtl/>
        </w:rPr>
        <w:t>המשתמשים</w:t>
      </w:r>
      <w:r w:rsidRPr="0069228C">
        <w:rPr>
          <w:rtl/>
        </w:rPr>
        <w:t xml:space="preserve"> </w:t>
      </w:r>
      <w:r w:rsidRPr="0069228C">
        <w:rPr>
          <w:rFonts w:hint="eastAsia"/>
          <w:rtl/>
        </w:rPr>
        <w:t>ברשת</w:t>
      </w:r>
      <w:r w:rsidRPr="0069228C">
        <w:rPr>
          <w:rtl/>
        </w:rPr>
        <w:t>.</w:t>
      </w:r>
      <w:r w:rsidRPr="00F5593D">
        <w:rPr>
          <w:rFonts w:hint="cs"/>
          <w:rtl/>
        </w:rPr>
        <w:t xml:space="preserve">  </w:t>
      </w:r>
    </w:p>
    <w:p w14:paraId="0D20335F" w14:textId="18334EE2" w:rsidR="008E0494" w:rsidRDefault="008E0494" w:rsidP="004231EC">
      <w:pPr>
        <w:pStyle w:val="Hesber"/>
        <w:rPr>
          <w:rtl/>
        </w:rPr>
      </w:pPr>
      <w:r>
        <w:rPr>
          <w:rFonts w:hint="cs"/>
          <w:rtl/>
        </w:rPr>
        <w:t xml:space="preserve">הצעת חוק זהה </w:t>
      </w:r>
      <w:r w:rsidR="004231EC">
        <w:rPr>
          <w:rFonts w:hint="cs"/>
          <w:rtl/>
        </w:rPr>
        <w:t>הונחה על שולחן ה</w:t>
      </w:r>
      <w:r>
        <w:rPr>
          <w:rFonts w:hint="cs"/>
          <w:rtl/>
        </w:rPr>
        <w:t xml:space="preserve">כנסת העשרים על ידי חברת הכנסת רויטל סויד </w:t>
      </w:r>
      <w:r w:rsidR="004231EC">
        <w:rPr>
          <w:rFonts w:hint="cs"/>
          <w:rtl/>
        </w:rPr>
        <w:t>(</w:t>
      </w:r>
      <w:r w:rsidRPr="00F02064">
        <w:rPr>
          <w:rFonts w:hint="cs"/>
          <w:rtl/>
        </w:rPr>
        <w:t>פ/5628/20</w:t>
      </w:r>
      <w:r w:rsidR="004231EC">
        <w:rPr>
          <w:rFonts w:hint="cs"/>
          <w:rtl/>
        </w:rPr>
        <w:t>).</w:t>
      </w:r>
    </w:p>
    <w:p w14:paraId="3932FBAD" w14:textId="77777777" w:rsidR="000278BC" w:rsidRDefault="000278BC" w:rsidP="004231EC">
      <w:pPr>
        <w:pStyle w:val="Hesber"/>
        <w:rPr>
          <w:rtl/>
        </w:rPr>
      </w:pPr>
    </w:p>
    <w:p w14:paraId="08EC0A26" w14:textId="77777777" w:rsidR="000278BC" w:rsidRDefault="000278BC" w:rsidP="004231EC">
      <w:pPr>
        <w:pStyle w:val="Hesber"/>
        <w:rPr>
          <w:rtl/>
        </w:rPr>
      </w:pPr>
    </w:p>
    <w:p w14:paraId="69938322" w14:textId="77777777" w:rsidR="000278BC" w:rsidRPr="00D73212" w:rsidRDefault="000278BC" w:rsidP="000278BC">
      <w:pPr>
        <w:pStyle w:val="Hesber"/>
        <w:rPr>
          <w:color w:val="auto"/>
          <w:rtl/>
          <w:lang w:eastAsia="en-US"/>
        </w:rPr>
      </w:pPr>
      <w:r w:rsidRPr="00D73212">
        <w:rPr>
          <w:color w:val="auto"/>
          <w:rtl/>
          <w:lang w:eastAsia="en-US"/>
        </w:rPr>
        <w:t>---------------------------------</w:t>
      </w:r>
    </w:p>
    <w:p w14:paraId="5B1A963A" w14:textId="77777777" w:rsidR="000278BC" w:rsidRPr="00D73212" w:rsidRDefault="000278BC" w:rsidP="000278BC">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260217F9" w14:textId="77777777" w:rsidR="000278BC" w:rsidRPr="00D73212" w:rsidRDefault="000278BC" w:rsidP="000278BC">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395E6A53" w14:textId="77777777" w:rsidR="000278BC" w:rsidRPr="00317312" w:rsidRDefault="000278BC" w:rsidP="000278BC">
      <w:pPr>
        <w:pStyle w:val="Hesber"/>
      </w:pPr>
      <w:r>
        <w:rPr>
          <w:rFonts w:hint="cs"/>
          <w:color w:val="auto"/>
          <w:rtl/>
          <w:lang w:eastAsia="en-US"/>
        </w:rPr>
        <w:t>ט"ו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20.5</w:t>
      </w:r>
      <w:r w:rsidRPr="00D73212">
        <w:rPr>
          <w:color w:val="auto"/>
          <w:rtl/>
          <w:lang w:eastAsia="en-US"/>
        </w:rPr>
        <w:t>.</w:t>
      </w:r>
      <w:r>
        <w:rPr>
          <w:rFonts w:hint="cs"/>
          <w:color w:val="auto"/>
          <w:rtl/>
          <w:lang w:eastAsia="en-US"/>
        </w:rPr>
        <w:t xml:space="preserve">19  </w:t>
      </w:r>
    </w:p>
    <w:p w14:paraId="624E1BF5" w14:textId="77777777" w:rsidR="000278BC" w:rsidRPr="000278BC" w:rsidRDefault="000278BC" w:rsidP="004231EC">
      <w:pPr>
        <w:pStyle w:val="Hesber"/>
        <w:rPr>
          <w:rtl/>
        </w:rPr>
      </w:pPr>
      <w:bookmarkStart w:id="8" w:name="_GoBack"/>
      <w:bookmarkEnd w:id="8"/>
    </w:p>
    <w:p w14:paraId="73EDE80C" w14:textId="77777777" w:rsidR="000278BC" w:rsidRPr="00F02064" w:rsidRDefault="000278BC" w:rsidP="004231EC">
      <w:pPr>
        <w:pStyle w:val="Hesber"/>
        <w:rPr>
          <w:rtl/>
        </w:rPr>
      </w:pPr>
    </w:p>
    <w:p w14:paraId="7F6961CB" w14:textId="7F4845C6"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0278BC">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E3F3947" w14:textId="77777777" w:rsidR="008E0494" w:rsidRDefault="008E0494" w:rsidP="008E0494">
      <w:pPr>
        <w:pStyle w:val="a4"/>
      </w:pPr>
      <w:r>
        <w:rPr>
          <w:rStyle w:val="a5"/>
        </w:rPr>
        <w:footnoteRef/>
      </w:r>
      <w:r>
        <w:rPr>
          <w:rtl/>
        </w:rPr>
        <w:t xml:space="preserve"> </w:t>
      </w:r>
      <w:r>
        <w:rPr>
          <w:rFonts w:hint="cs"/>
          <w:rtl/>
        </w:rPr>
        <w:t>ס"ח התשמ"א, עמ' 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78BC"/>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430A"/>
    <w:rsid w:val="004073F0"/>
    <w:rsid w:val="00412A7D"/>
    <w:rsid w:val="00416B4D"/>
    <w:rsid w:val="00417CFC"/>
    <w:rsid w:val="004231E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1E59"/>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0494"/>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E1EA1A3-55A8-47C9-A248-A3BFD56B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D06FD-E010-450E-8401-1CDE8B91E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78ED973-3F0F-4CA5-B7B2-58E57299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531</Words>
  <Characters>2655</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2019-05-19T09:11:00Z</cp:lastPrinted>
  <dcterms:created xsi:type="dcterms:W3CDTF">2015-04-20T09:58:00Z</dcterms:created>
  <dcterms:modified xsi:type="dcterms:W3CDTF">2019-05-19T09:11:00Z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2078759</vt:r8>
  </property>
</Properties>
</file>