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b/>
          <w:bCs/>
          <w:sz w:val="20"/>
          <w:szCs w:val="20"/>
        </w:rPr>
      </w:pPr>
      <w:r w:rsidRPr="00E635A2">
        <w:rPr>
          <w:rFonts w:hint="cs"/>
          <w:sz w:val="20"/>
          <w:szCs w:val="20"/>
          <w:rtl/>
        </w:rPr>
        <w:t xml:space="preserve">מספר פנימי: </w:t>
      </w:r>
      <w:bookmarkStart w:id="0" w:name="LGS_Internal_ID"/>
      <w:r>
        <w:rPr>
          <w:rFonts w:hint="cs"/>
          <w:sz w:val="20"/>
          <w:szCs w:val="20"/>
          <w:rtl/>
        </w:rPr>
        <w:t>2078750</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ואחת</w:t>
      </w:r>
      <w:bookmarkEnd w:id="1"/>
    </w:p>
    <w:p w14:paraId="7F6961A3" w14:textId="77777777" w:rsidR="00E13C27" w:rsidRPr="00F67051" w:rsidRDefault="00E13C27" w:rsidP="00E13C27">
      <w:pPr>
        <w:rPr>
          <w:b/>
          <w:bCs/>
          <w:sz w:val="26"/>
          <w:szCs w:val="26"/>
          <w:rtl/>
        </w:rPr>
      </w:pPr>
    </w:p>
    <w:p w14:paraId="7F6961A6" w14:textId="77777777" w:rsidR="00E13C27" w:rsidRDefault="008F6665" w:rsidP="00930EFE">
      <w:pPr>
        <w:pStyle w:val="David"/>
        <w:ind w:left="3544"/>
        <w:rPr>
          <w:b/>
          <w:bCs/>
          <w:rtl/>
        </w:rPr>
      </w:pPr>
      <w:bookmarkStart w:id="2" w:name="LGS_Initiators_List"/>
      <w:r>
        <w:rPr>
          <w:b/>
          <w:bCs/>
          <w:rtl/>
        </w:rPr>
        <w:t>יוזם:</w:t>
      </w:r>
      <w:r>
        <w:tab/>
      </w:r>
      <w:r>
        <w:rPr>
          <w:b/>
          <w:bCs/>
          <w:rtl/>
        </w:rPr>
        <w:t xml:space="preserve">      חבר הכנסת</w:t>
      </w:r>
      <w:bookmarkEnd w:id="2"/>
      <w:r w:rsidR="00B35784" w:rsidRPr="00F67051">
        <w:rPr>
          <w:b/>
          <w:bCs/>
        </w:rPr>
        <w:tab/>
      </w:r>
      <w:bookmarkStart w:id="3" w:name="LGS_PM_Names"/>
      <w:r>
        <w:rPr>
          <w:rFonts w:hint="cs"/>
          <w:b/>
          <w:bCs/>
          <w:rtl/>
        </w:rPr>
        <w:t>מאיר כהן</w:t>
      </w:r>
      <w:bookmarkEnd w:id="3"/>
    </w:p>
    <w:p w14:paraId="7F6961AA" w14:textId="39F9D96B" w:rsidR="00E13C27" w:rsidRPr="00CF1AA2" w:rsidRDefault="007D585A" w:rsidP="0036422C">
      <w:pPr>
        <w:pStyle w:val="David"/>
        <w:ind w:left="3544"/>
        <w:rPr>
          <w:b/>
          <w:bCs/>
          <w:sz w:val="16"/>
          <w:szCs w:val="16"/>
          <w:rtl/>
        </w:rPr>
      </w:pPr>
      <w:bookmarkStart w:id="4" w:name="LGS_Join_List"/>
      <w:r>
        <w:rPr>
          <w:rtl/>
        </w:rPr>
        <w:t xml:space="preserve"> </w:t>
      </w:r>
      <w:bookmarkEnd w:id="4"/>
      <w:r w:rsidR="002200A1" w:rsidRPr="00CF1AA2">
        <w:rPr>
          <w:rFonts w:hint="cs"/>
          <w:rtl/>
        </w:rPr>
        <w:tab/>
      </w:r>
      <w:bookmarkStart w:id="5" w:name="LGS_PM_NamesJoin"/>
      <w:r>
        <w:rPr>
          <w:rFonts w:hint="cs"/>
          <w:rtl/>
        </w:rPr>
        <w:t xml:space="preserve"> </w:t>
      </w:r>
      <w:bookmarkEnd w:id="5"/>
    </w:p>
    <w:p w14:paraId="34DB4103" w14:textId="77777777" w:rsidR="00904591" w:rsidRPr="00904591" w:rsidRDefault="00266D86" w:rsidP="0036422C">
      <w:pPr>
        <w:pStyle w:val="David"/>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256138AA" w:rsidR="00E13C27" w:rsidRPr="00E06736" w:rsidRDefault="00904591" w:rsidP="00E7004E">
      <w:pPr>
        <w:pStyle w:val="David"/>
        <w:spacing w:line="240" w:lineRule="auto"/>
        <w:ind w:left="3884"/>
        <w:rPr>
          <w:rtl/>
        </w:rPr>
      </w:pPr>
      <w:r>
        <w:t xml:space="preserve">                                            </w:t>
      </w:r>
      <w:r w:rsidR="008F1308">
        <w:t xml:space="preserve"> </w:t>
      </w:r>
      <w:bookmarkStart w:id="6" w:name="Private_Number"/>
      <w:r>
        <w:rPr>
          <w:rFonts w:hint="cs"/>
          <w:rtl/>
        </w:rPr>
        <w:t>פ/48/21</w:t>
      </w:r>
      <w:bookmarkEnd w:id="6"/>
    </w:p>
    <w:p w14:paraId="7F6961AC" w14:textId="77777777" w:rsidR="00E13C27" w:rsidRDefault="00E13C27" w:rsidP="00E13C27">
      <w:pPr>
        <w:ind w:left="2880" w:firstLine="720"/>
        <w:rPr>
          <w:sz w:val="26"/>
          <w:szCs w:val="26"/>
          <w:rtl/>
        </w:rPr>
      </w:pPr>
    </w:p>
    <w:p w14:paraId="7F6961AD" w14:textId="77777777" w:rsidR="00E13C27" w:rsidRDefault="00A443CF" w:rsidP="0021633A">
      <w:pPr>
        <w:pStyle w:val="HeadHatzaotHok"/>
        <w:rPr>
          <w:rtl/>
        </w:rPr>
      </w:pPr>
      <w:bookmarkStart w:id="7" w:name="LGS_Subject"/>
      <w:r>
        <w:rPr>
          <w:rFonts w:hint="cs"/>
          <w:rtl/>
        </w:rPr>
        <w:t>הצעת חוק המזונות (הבטחת תשלום) (תיקון – החרגת הכנסה מעבודה או ממשלח יד ממבחן ההכנסה), התשע"ט–2019</w:t>
      </w:r>
      <w:bookmarkEnd w:id="7"/>
    </w:p>
    <w:p w14:paraId="004E5B40" w14:textId="77777777" w:rsidR="00E7004E" w:rsidRPr="00F67051" w:rsidRDefault="00E7004E" w:rsidP="0021633A">
      <w:pPr>
        <w:pStyle w:val="HeadHatzaotHok"/>
        <w:rPr>
          <w:rtl/>
        </w:rPr>
      </w:pPr>
      <w:bookmarkStart w:id="8" w:name="_GoBack"/>
      <w:bookmarkEnd w:id="8"/>
    </w:p>
    <w:tbl>
      <w:tblPr>
        <w:bidiVisual/>
        <w:tblW w:w="9638"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1872"/>
        <w:gridCol w:w="624"/>
        <w:gridCol w:w="4647"/>
      </w:tblGrid>
      <w:tr w:rsidR="006F3893" w14:paraId="72412B10" w14:textId="77777777" w:rsidTr="005E4115">
        <w:trPr>
          <w:cantSplit/>
        </w:trPr>
        <w:tc>
          <w:tcPr>
            <w:tcW w:w="1871" w:type="dxa"/>
          </w:tcPr>
          <w:p w14:paraId="4B4B5C73" w14:textId="451CB6FE" w:rsidR="006F3893" w:rsidRPr="00DE125C" w:rsidRDefault="006F3893" w:rsidP="00DE125C">
            <w:pPr>
              <w:pStyle w:val="TableSideHeading"/>
              <w:outlineLvl w:val="9"/>
              <w:rPr>
                <w:rtl/>
              </w:rPr>
            </w:pPr>
            <w:r w:rsidRPr="00DE125C">
              <w:rPr>
                <w:rFonts w:hint="cs"/>
                <w:rtl/>
              </w:rPr>
              <w:t>הוספת סעיף 3א</w:t>
            </w:r>
          </w:p>
        </w:tc>
        <w:tc>
          <w:tcPr>
            <w:tcW w:w="624" w:type="dxa"/>
          </w:tcPr>
          <w:p w14:paraId="25269566" w14:textId="77777777" w:rsidR="006F3893" w:rsidRPr="00DE125C" w:rsidRDefault="006F3893" w:rsidP="00DE125C">
            <w:pPr>
              <w:pStyle w:val="TableText"/>
              <w:jc w:val="both"/>
              <w:rPr>
                <w:rtl/>
              </w:rPr>
            </w:pPr>
            <w:r w:rsidRPr="00DE125C">
              <w:rPr>
                <w:rFonts w:hint="cs"/>
                <w:rtl/>
              </w:rPr>
              <w:t>1.</w:t>
            </w:r>
          </w:p>
        </w:tc>
        <w:tc>
          <w:tcPr>
            <w:tcW w:w="7143" w:type="dxa"/>
            <w:gridSpan w:val="3"/>
          </w:tcPr>
          <w:p w14:paraId="543E39ED" w14:textId="77777777" w:rsidR="006F3893" w:rsidRDefault="006F3893" w:rsidP="005E4115">
            <w:pPr>
              <w:pStyle w:val="TableBlock"/>
              <w:rPr>
                <w:rtl/>
              </w:rPr>
            </w:pPr>
            <w:r w:rsidRPr="005E4115">
              <w:rPr>
                <w:rFonts w:hint="cs"/>
                <w:rtl/>
              </w:rPr>
              <w:t>בחוק המזונות (הבטחת תשלום), התשל"ב–1972</w:t>
            </w:r>
            <w:r w:rsidRPr="005E4115">
              <w:rPr>
                <w:vertAlign w:val="superscript"/>
                <w:rtl/>
              </w:rPr>
              <w:footnoteReference w:id="2"/>
            </w:r>
            <w:r w:rsidRPr="005E4115">
              <w:rPr>
                <w:rFonts w:hint="cs"/>
                <w:rtl/>
              </w:rPr>
              <w:t>, אחרי סעיף 3 יבוא</w:t>
            </w:r>
            <w:r>
              <w:rPr>
                <w:rFonts w:hint="cs"/>
                <w:rtl/>
              </w:rPr>
              <w:t>:</w:t>
            </w:r>
          </w:p>
        </w:tc>
      </w:tr>
      <w:tr w:rsidR="006F3893" w14:paraId="1A5A936C" w14:textId="77777777" w:rsidTr="005E4115">
        <w:trPr>
          <w:cantSplit/>
        </w:trPr>
        <w:tc>
          <w:tcPr>
            <w:tcW w:w="1871" w:type="dxa"/>
          </w:tcPr>
          <w:p w14:paraId="491DE937" w14:textId="77777777" w:rsidR="006F3893" w:rsidRDefault="006F3893" w:rsidP="00DF3544">
            <w:pPr>
              <w:pStyle w:val="TableSideHeading"/>
              <w:keepLines w:val="0"/>
            </w:pPr>
          </w:p>
        </w:tc>
        <w:tc>
          <w:tcPr>
            <w:tcW w:w="624" w:type="dxa"/>
          </w:tcPr>
          <w:p w14:paraId="1B88CC1B" w14:textId="77777777" w:rsidR="006F3893" w:rsidRDefault="006F3893" w:rsidP="00DF3544">
            <w:pPr>
              <w:pStyle w:val="TableText"/>
              <w:keepLines w:val="0"/>
            </w:pPr>
          </w:p>
        </w:tc>
        <w:tc>
          <w:tcPr>
            <w:tcW w:w="1872" w:type="dxa"/>
          </w:tcPr>
          <w:p w14:paraId="6A0AFB94" w14:textId="77777777" w:rsidR="006F3893" w:rsidRPr="00DE125C" w:rsidRDefault="006F3893" w:rsidP="00DE125C">
            <w:pPr>
              <w:pStyle w:val="TableInnerSideHeading"/>
            </w:pPr>
            <w:r w:rsidRPr="00DE125C">
              <w:rPr>
                <w:rFonts w:hint="cs"/>
                <w:rtl/>
              </w:rPr>
              <w:t>"הכנסה שאינה מובאת בחשבון</w:t>
            </w:r>
          </w:p>
        </w:tc>
        <w:tc>
          <w:tcPr>
            <w:tcW w:w="624" w:type="dxa"/>
          </w:tcPr>
          <w:p w14:paraId="42623974" w14:textId="77777777" w:rsidR="006F3893" w:rsidRPr="00DE125C" w:rsidRDefault="006F3893" w:rsidP="00DE125C">
            <w:pPr>
              <w:pStyle w:val="TableText"/>
              <w:jc w:val="both"/>
            </w:pPr>
            <w:r w:rsidRPr="00DE125C">
              <w:rPr>
                <w:rFonts w:hint="cs"/>
                <w:rtl/>
              </w:rPr>
              <w:t>3א.</w:t>
            </w:r>
          </w:p>
        </w:tc>
        <w:tc>
          <w:tcPr>
            <w:tcW w:w="4647" w:type="dxa"/>
          </w:tcPr>
          <w:p w14:paraId="4D42E511" w14:textId="77777777" w:rsidR="006F3893" w:rsidRPr="00DE125C" w:rsidRDefault="006F3893" w:rsidP="00DE125C">
            <w:pPr>
              <w:pStyle w:val="TableBlock"/>
            </w:pPr>
            <w:r w:rsidRPr="00DE125C">
              <w:rPr>
                <w:rFonts w:hint="cs"/>
                <w:rtl/>
              </w:rPr>
              <w:t>על אף האמור בכל דין, בחישוב ההכנסה של זוכה לפי חוק זה לא תובא בחשבון הכנסה ממשלח יד או מעבודה כמשמעותן בסעיף 2(1) ו-(2) לפקודת מס הכנסה</w:t>
            </w:r>
            <w:r w:rsidRPr="00DE125C">
              <w:rPr>
                <w:vertAlign w:val="superscript"/>
                <w:rtl/>
              </w:rPr>
              <w:footnoteReference w:id="3"/>
            </w:r>
            <w:r w:rsidRPr="00DE125C">
              <w:rPr>
                <w:rFonts w:hint="cs"/>
                <w:rtl/>
              </w:rPr>
              <w:t>."</w:t>
            </w:r>
          </w:p>
        </w:tc>
      </w:tr>
    </w:tbl>
    <w:p w14:paraId="7F6961CA" w14:textId="77777777" w:rsidR="002D1EE3" w:rsidRPr="001B2DEF" w:rsidRDefault="002D1EE3" w:rsidP="001B2DEF">
      <w:pPr>
        <w:pStyle w:val="HeadDivreiHesber"/>
        <w:rPr>
          <w:rtl/>
        </w:rPr>
      </w:pPr>
      <w:r w:rsidRPr="001B2DEF">
        <w:rPr>
          <w:rFonts w:hint="cs"/>
          <w:rtl/>
        </w:rPr>
        <w:t>דברי הסבר</w:t>
      </w:r>
    </w:p>
    <w:p w14:paraId="38EFB658" w14:textId="3F739CF7" w:rsidR="006F3893" w:rsidRPr="00653A04" w:rsidRDefault="006F3893" w:rsidP="00653A04">
      <w:pPr>
        <w:pStyle w:val="Hesber"/>
        <w:rPr>
          <w:rtl/>
        </w:rPr>
      </w:pPr>
      <w:r w:rsidRPr="00653A04">
        <w:rPr>
          <w:rtl/>
        </w:rPr>
        <w:t>תכלית</w:t>
      </w:r>
      <w:r w:rsidR="00DE125C" w:rsidRPr="00653A04">
        <w:rPr>
          <w:rFonts w:hint="cs"/>
          <w:rtl/>
        </w:rPr>
        <w:t>ו של</w:t>
      </w:r>
      <w:r w:rsidRPr="00653A04">
        <w:rPr>
          <w:rtl/>
        </w:rPr>
        <w:t xml:space="preserve"> חוק המזונות (הבטחת תשלום)</w:t>
      </w:r>
      <w:r w:rsidR="00DE125C" w:rsidRPr="00653A04">
        <w:rPr>
          <w:rtl/>
        </w:rPr>
        <w:t>, התשל"ב–1972 (להלן – החוק), ה</w:t>
      </w:r>
      <w:r w:rsidR="00DE125C" w:rsidRPr="00653A04">
        <w:rPr>
          <w:rFonts w:hint="cs"/>
          <w:rtl/>
        </w:rPr>
        <w:t>ינה</w:t>
      </w:r>
      <w:r w:rsidRPr="00653A04">
        <w:rPr>
          <w:rtl/>
        </w:rPr>
        <w:t xml:space="preserve"> להבטיח את תשלום המזונות לאישה ולילדים במקרים שבהם בן הזוג מתחמק מתשלום המזונות שנקבעו לו בפסיקת בתי הדין או בית המשפט לענייני משפחה. </w:t>
      </w:r>
      <w:r w:rsidR="00DE125C" w:rsidRPr="00653A04">
        <w:rPr>
          <w:rFonts w:hint="cs"/>
          <w:rtl/>
        </w:rPr>
        <w:t>ה</w:t>
      </w:r>
      <w:r w:rsidRPr="00653A04">
        <w:rPr>
          <w:rtl/>
        </w:rPr>
        <w:t xml:space="preserve">סכומים שנפסקו נועדו לזון את הילדים ולשמש תחליף להכנסתו של האב למשק הבית, כך שאף שהוריהם נפרדו עדיין יהיו לילדים שני מפרנסים התומכים בהם. מזונות אלה לא נועדו להחליף את תמיכתה של האם בילדים. </w:t>
      </w:r>
    </w:p>
    <w:p w14:paraId="5F331E71" w14:textId="21AA135A" w:rsidR="006F3893" w:rsidRPr="00653A04" w:rsidRDefault="00DE125C" w:rsidP="00653A04">
      <w:pPr>
        <w:pStyle w:val="Hesber"/>
        <w:rPr>
          <w:rtl/>
        </w:rPr>
      </w:pPr>
      <w:r w:rsidRPr="00653A04">
        <w:rPr>
          <w:rFonts w:hint="cs"/>
          <w:rtl/>
        </w:rPr>
        <w:t>על כן</w:t>
      </w:r>
      <w:r w:rsidR="006F3893" w:rsidRPr="00653A04">
        <w:rPr>
          <w:rtl/>
        </w:rPr>
        <w:t>, יש פגם של ממש בהחרגתה של הכנסת האם מעבודתה מהמזונות המגיעים לה</w:t>
      </w:r>
      <w:r w:rsidR="00A33BF1" w:rsidRPr="00653A04">
        <w:rPr>
          <w:rFonts w:hint="cs"/>
          <w:rtl/>
        </w:rPr>
        <w:t xml:space="preserve">, </w:t>
      </w:r>
      <w:r w:rsidR="006F3893" w:rsidRPr="00653A04">
        <w:rPr>
          <w:rtl/>
        </w:rPr>
        <w:t xml:space="preserve">זאת כיוון שכאשר ההורים נשואים ותומכים יחדיו בילדים, אין בעובדה שהאם עובדת כדי להפחית ממחויבותו של האב לתמוך בילדים. </w:t>
      </w:r>
    </w:p>
    <w:p w14:paraId="4723B209" w14:textId="040A105B" w:rsidR="006F3893" w:rsidRPr="00653A04" w:rsidRDefault="006F3893" w:rsidP="00653A04">
      <w:pPr>
        <w:pStyle w:val="Hesber"/>
        <w:rPr>
          <w:rtl/>
        </w:rPr>
      </w:pPr>
      <w:r w:rsidRPr="00653A04">
        <w:rPr>
          <w:rtl/>
        </w:rPr>
        <w:t xml:space="preserve">המוסד לביטוח לאומי שבא בנעלי החייב ומשלם את המזונות לאם יכול להיכנס בנעליה ולתבוע את הסכומים שהוא משלם לאם מן החייב ולגבות אותם באופן יעיל יותר מהאם שאינה פנויה לגבות את המזונות המגיעים לה ולילדיה מן החייב. כל זאת, כאשר הרציונל העומד בבסיס החוק עדיין עומד על כנו. </w:t>
      </w:r>
    </w:p>
    <w:p w14:paraId="3F71ED12" w14:textId="66E23F4B" w:rsidR="006F3893" w:rsidRPr="00653A04" w:rsidRDefault="006F3893" w:rsidP="00653A04">
      <w:pPr>
        <w:pStyle w:val="Hesber"/>
        <w:rPr>
          <w:rtl/>
        </w:rPr>
      </w:pPr>
      <w:r w:rsidRPr="00653A04">
        <w:rPr>
          <w:rtl/>
        </w:rPr>
        <w:t xml:space="preserve">חישוב הכנסת האישה לעניין תשלום המזונות מתמרץ את האישה לא לעבוד כיוון שאז פוחתים </w:t>
      </w:r>
      <w:r w:rsidRPr="00653A04">
        <w:rPr>
          <w:rtl/>
        </w:rPr>
        <w:lastRenderedPageBreak/>
        <w:t xml:space="preserve">המזונות שהיא מקבלת מהמוסד לביטוח לאומי או לחלופין לעבוד בעבודה חלקית ללא דיווח או בעבודה מזדמנת שאינה מאפשרת קידום ועלייה בשכר ומחייבת את האישה להישאר במדרג עבודה נמוך וללא אפשרות יציאה מן המצוקה שאליה נקלעה וכך נפגעים גם ילדיה. </w:t>
      </w:r>
    </w:p>
    <w:p w14:paraId="10A0914D" w14:textId="12C0655C" w:rsidR="006F3893" w:rsidRPr="00653A04" w:rsidRDefault="006F3893" w:rsidP="00653A04">
      <w:pPr>
        <w:pStyle w:val="Hesber"/>
        <w:rPr>
          <w:rtl/>
        </w:rPr>
      </w:pPr>
      <w:r w:rsidRPr="00653A04">
        <w:rPr>
          <w:rFonts w:hint="cs"/>
          <w:rtl/>
        </w:rPr>
        <w:t>ההוראה הנוכחית אשר מגבילה את</w:t>
      </w:r>
      <w:r w:rsidRPr="00653A04">
        <w:rPr>
          <w:rtl/>
        </w:rPr>
        <w:t xml:space="preserve"> האם </w:t>
      </w:r>
      <w:r w:rsidRPr="00653A04">
        <w:rPr>
          <w:rFonts w:hint="cs"/>
          <w:rtl/>
        </w:rPr>
        <w:t>ביציאה לעבודה</w:t>
      </w:r>
      <w:r w:rsidRPr="00653A04">
        <w:rPr>
          <w:rtl/>
        </w:rPr>
        <w:t xml:space="preserve"> משום שאם תעבוד עלולים לפחות מזונות ילדיה</w:t>
      </w:r>
      <w:r w:rsidRPr="00653A04">
        <w:rPr>
          <w:rFonts w:hint="cs"/>
          <w:rtl/>
        </w:rPr>
        <w:t xml:space="preserve">, </w:t>
      </w:r>
      <w:r w:rsidRPr="00653A04">
        <w:rPr>
          <w:rtl/>
        </w:rPr>
        <w:t xml:space="preserve">מובילה למצב פסול שבו המשפחה מצויה במצוקה קשה ומתקיימת למעשה </w:t>
      </w:r>
      <w:r w:rsidRPr="00653A04">
        <w:rPr>
          <w:rFonts w:hint="cs"/>
          <w:rtl/>
        </w:rPr>
        <w:t>מ</w:t>
      </w:r>
      <w:r w:rsidRPr="00653A04">
        <w:rPr>
          <w:rtl/>
        </w:rPr>
        <w:t xml:space="preserve">הסכום המועט של </w:t>
      </w:r>
      <w:r w:rsidR="001B2DEF" w:rsidRPr="00653A04">
        <w:rPr>
          <w:rFonts w:hint="cs"/>
          <w:rtl/>
        </w:rPr>
        <w:t xml:space="preserve">דמי </w:t>
      </w:r>
      <w:r w:rsidRPr="00653A04">
        <w:rPr>
          <w:rtl/>
        </w:rPr>
        <w:t xml:space="preserve">המזונות, בבחינת מפרנס אחד </w:t>
      </w:r>
      <w:r w:rsidR="001B2DEF" w:rsidRPr="00653A04">
        <w:rPr>
          <w:rFonts w:hint="cs"/>
          <w:rtl/>
        </w:rPr>
        <w:t>ו</w:t>
      </w:r>
      <w:r w:rsidRPr="00653A04">
        <w:rPr>
          <w:rtl/>
        </w:rPr>
        <w:t>בניגוד</w:t>
      </w:r>
      <w:r w:rsidR="001B2DEF" w:rsidRPr="00653A04">
        <w:rPr>
          <w:rFonts w:hint="cs"/>
          <w:rtl/>
        </w:rPr>
        <w:t xml:space="preserve"> </w:t>
      </w:r>
      <w:r w:rsidRPr="00653A04">
        <w:rPr>
          <w:rtl/>
        </w:rPr>
        <w:t xml:space="preserve">לתכליתם של </w:t>
      </w:r>
      <w:r w:rsidR="001B2DEF" w:rsidRPr="00653A04">
        <w:rPr>
          <w:rFonts w:hint="cs"/>
          <w:rtl/>
        </w:rPr>
        <w:t xml:space="preserve">דמי </w:t>
      </w:r>
      <w:r w:rsidRPr="00653A04">
        <w:rPr>
          <w:rtl/>
        </w:rPr>
        <w:t>המזונות</w:t>
      </w:r>
      <w:r w:rsidRPr="00653A04">
        <w:rPr>
          <w:rFonts w:hint="cs"/>
          <w:rtl/>
        </w:rPr>
        <w:t>.</w:t>
      </w:r>
    </w:p>
    <w:p w14:paraId="7AF2EE91" w14:textId="79FD2BCC" w:rsidR="006F3893" w:rsidRPr="00653A04" w:rsidRDefault="001B2DEF" w:rsidP="00653A04">
      <w:pPr>
        <w:pStyle w:val="Hesber"/>
        <w:rPr>
          <w:rtl/>
        </w:rPr>
      </w:pPr>
      <w:r w:rsidRPr="00653A04">
        <w:rPr>
          <w:rFonts w:hint="cs"/>
          <w:rtl/>
        </w:rPr>
        <w:t>על כן,</w:t>
      </w:r>
      <w:r w:rsidRPr="00653A04">
        <w:rPr>
          <w:rtl/>
        </w:rPr>
        <w:t xml:space="preserve"> </w:t>
      </w:r>
      <w:r w:rsidR="006F3893" w:rsidRPr="00653A04">
        <w:rPr>
          <w:rtl/>
        </w:rPr>
        <w:t xml:space="preserve">מוצע לקבוע בחקיקה כי אין להכליל את הכנסתה של הזוכה במזונות מעבודתה או </w:t>
      </w:r>
      <w:r w:rsidR="006F3893" w:rsidRPr="00653A04">
        <w:rPr>
          <w:rFonts w:hint="cs"/>
          <w:rtl/>
        </w:rPr>
        <w:t>מ</w:t>
      </w:r>
      <w:r w:rsidR="006F3893" w:rsidRPr="00653A04">
        <w:rPr>
          <w:rtl/>
        </w:rPr>
        <w:t xml:space="preserve">משלח ידה בחישוב הכנסותיה לשם קביעת זכאותה למזונות.   </w:t>
      </w:r>
    </w:p>
    <w:p w14:paraId="54B72856" w14:textId="4439CB28" w:rsidR="006F3893" w:rsidRPr="00653A04" w:rsidRDefault="006F3893" w:rsidP="00653A04">
      <w:pPr>
        <w:pStyle w:val="Hesber"/>
        <w:rPr>
          <w:rtl/>
        </w:rPr>
      </w:pPr>
      <w:r w:rsidRPr="00653A04">
        <w:rPr>
          <w:rtl/>
        </w:rPr>
        <w:t xml:space="preserve">הצעת החוק </w:t>
      </w:r>
      <w:r w:rsidR="00D23854" w:rsidRPr="00653A04">
        <w:rPr>
          <w:rFonts w:hint="cs"/>
          <w:rtl/>
        </w:rPr>
        <w:t>נוסחה</w:t>
      </w:r>
      <w:r w:rsidR="00D23854" w:rsidRPr="00653A04">
        <w:rPr>
          <w:rtl/>
        </w:rPr>
        <w:t xml:space="preserve"> </w:t>
      </w:r>
      <w:r w:rsidRPr="00653A04">
        <w:rPr>
          <w:rtl/>
        </w:rPr>
        <w:t>ב</w:t>
      </w:r>
      <w:r w:rsidRPr="00653A04">
        <w:rPr>
          <w:rFonts w:hint="cs"/>
          <w:rtl/>
        </w:rPr>
        <w:t>סיוע ה</w:t>
      </w:r>
      <w:r w:rsidRPr="00653A04">
        <w:rPr>
          <w:rtl/>
        </w:rPr>
        <w:t>מחלקה המשפטית והמחלקה למדיניות חברתית של עמותת ידיד</w:t>
      </w:r>
      <w:r w:rsidRPr="00653A04">
        <w:rPr>
          <w:rFonts w:hint="cs"/>
          <w:rtl/>
        </w:rPr>
        <w:t>.</w:t>
      </w:r>
    </w:p>
    <w:p w14:paraId="1193483B" w14:textId="77777777" w:rsidR="006F3893" w:rsidRPr="00653A04" w:rsidRDefault="006F3893" w:rsidP="00653A04">
      <w:pPr>
        <w:pStyle w:val="Hesber"/>
        <w:rPr>
          <w:rtl/>
        </w:rPr>
      </w:pPr>
      <w:r w:rsidRPr="00653A04">
        <w:rPr>
          <w:rtl/>
        </w:rPr>
        <w:t>הצע</w:t>
      </w:r>
      <w:r w:rsidRPr="00653A04">
        <w:rPr>
          <w:rFonts w:hint="cs"/>
          <w:rtl/>
        </w:rPr>
        <w:t>ת</w:t>
      </w:r>
      <w:r w:rsidRPr="00653A04">
        <w:rPr>
          <w:rtl/>
        </w:rPr>
        <w:t xml:space="preserve"> חוק </w:t>
      </w:r>
      <w:r w:rsidRPr="00653A04">
        <w:rPr>
          <w:rFonts w:hint="cs"/>
          <w:rtl/>
        </w:rPr>
        <w:t>דומה בעיקרה</w:t>
      </w:r>
      <w:r w:rsidRPr="00653A04">
        <w:rPr>
          <w:rtl/>
        </w:rPr>
        <w:t xml:space="preserve"> הונח</w:t>
      </w:r>
      <w:r w:rsidRPr="00653A04">
        <w:rPr>
          <w:rFonts w:hint="cs"/>
          <w:rtl/>
        </w:rPr>
        <w:t>ה</w:t>
      </w:r>
      <w:r w:rsidRPr="00653A04">
        <w:rPr>
          <w:rtl/>
        </w:rPr>
        <w:t xml:space="preserve"> על שולחן הכנסת התשע</w:t>
      </w:r>
      <w:r w:rsidRPr="00653A04">
        <w:rPr>
          <w:rFonts w:hint="cs"/>
          <w:rtl/>
        </w:rPr>
        <w:t>-</w:t>
      </w:r>
      <w:r w:rsidRPr="00653A04">
        <w:rPr>
          <w:rtl/>
        </w:rPr>
        <w:t xml:space="preserve">עשרה </w:t>
      </w:r>
      <w:r w:rsidRPr="00653A04">
        <w:rPr>
          <w:rFonts w:hint="cs"/>
          <w:rtl/>
        </w:rPr>
        <w:t xml:space="preserve">על ידי חברת הכנסת זהבה גלאון וקבוצת חברי הכנסת (פ/2422/19). </w:t>
      </w:r>
    </w:p>
    <w:p w14:paraId="75DE7D56" w14:textId="700F1682" w:rsidR="006F3893" w:rsidRDefault="006F3893" w:rsidP="00653A04">
      <w:pPr>
        <w:pStyle w:val="Hesber"/>
        <w:rPr>
          <w:rtl/>
        </w:rPr>
      </w:pPr>
      <w:r w:rsidRPr="00653A04">
        <w:rPr>
          <w:rFonts w:hint="cs"/>
          <w:rtl/>
        </w:rPr>
        <w:t>הצע</w:t>
      </w:r>
      <w:r w:rsidR="00635828" w:rsidRPr="00653A04">
        <w:rPr>
          <w:rFonts w:hint="cs"/>
          <w:rtl/>
        </w:rPr>
        <w:t>ות חוק זהות הונחו</w:t>
      </w:r>
      <w:r w:rsidRPr="00653A04">
        <w:rPr>
          <w:rFonts w:hint="cs"/>
          <w:rtl/>
        </w:rPr>
        <w:t xml:space="preserve"> על שולחן הכנסת העשרים על ידי חברת הכנ</w:t>
      </w:r>
      <w:r w:rsidR="009D39BD" w:rsidRPr="00653A04">
        <w:rPr>
          <w:rFonts w:hint="cs"/>
          <w:rtl/>
        </w:rPr>
        <w:t xml:space="preserve">סת זהבה גלאון (פ/3/20, הוסרה מסדר היום ביום כ"ה בטבת התשע"ו </w:t>
      </w:r>
      <w:r w:rsidR="00D23854" w:rsidRPr="00653A04">
        <w:rPr>
          <w:rFonts w:hint="cs"/>
          <w:rtl/>
        </w:rPr>
        <w:t>(6 בינואר 2016)</w:t>
      </w:r>
      <w:r w:rsidR="00653A04">
        <w:rPr>
          <w:rFonts w:hint="cs"/>
          <w:rtl/>
        </w:rPr>
        <w:t xml:space="preserve">; </w:t>
      </w:r>
      <w:r w:rsidR="009D39BD" w:rsidRPr="00653A04">
        <w:rPr>
          <w:rFonts w:hint="cs"/>
          <w:rtl/>
        </w:rPr>
        <w:t>פ/2562/20, הוסרה מסדר היום ביום כ"</w:t>
      </w:r>
      <w:r w:rsidR="00DE125C" w:rsidRPr="00653A04">
        <w:rPr>
          <w:rFonts w:hint="cs"/>
          <w:rtl/>
        </w:rPr>
        <w:t>ב</w:t>
      </w:r>
      <w:r w:rsidR="009D39BD" w:rsidRPr="00653A04">
        <w:rPr>
          <w:rFonts w:hint="cs"/>
          <w:rtl/>
        </w:rPr>
        <w:t xml:space="preserve"> בטבת התשע"ו</w:t>
      </w:r>
      <w:r w:rsidR="00D23854" w:rsidRPr="00653A04">
        <w:rPr>
          <w:rFonts w:hint="cs"/>
          <w:rtl/>
        </w:rPr>
        <w:t xml:space="preserve"> (2 בינואר 2016</w:t>
      </w:r>
      <w:r w:rsidR="009D39BD" w:rsidRPr="00653A04">
        <w:rPr>
          <w:rFonts w:hint="cs"/>
          <w:rtl/>
        </w:rPr>
        <w:t>)) ועל ידי חברי הכנסת מאיר כהן ויאיר לפיד (פ/70/20, הוסרה מסדר היום ביום כ"ה בטבת התשע"ו</w:t>
      </w:r>
      <w:r w:rsidR="00D23854" w:rsidRPr="00653A04">
        <w:rPr>
          <w:rFonts w:hint="cs"/>
          <w:rtl/>
        </w:rPr>
        <w:t xml:space="preserve"> (6 בינואר 2016)</w:t>
      </w:r>
      <w:r w:rsidR="009D39BD" w:rsidRPr="00653A04">
        <w:rPr>
          <w:rFonts w:hint="cs"/>
          <w:rtl/>
        </w:rPr>
        <w:t>).</w:t>
      </w:r>
    </w:p>
    <w:p w14:paraId="4D8030D4" w14:textId="77777777" w:rsidR="00E7004E" w:rsidRDefault="00E7004E" w:rsidP="00653A04">
      <w:pPr>
        <w:pStyle w:val="Hesber"/>
        <w:rPr>
          <w:rtl/>
        </w:rPr>
      </w:pPr>
    </w:p>
    <w:p w14:paraId="66BEBB4C" w14:textId="77777777" w:rsidR="00E7004E" w:rsidRPr="00D73212" w:rsidRDefault="00E7004E" w:rsidP="00E7004E">
      <w:pPr>
        <w:pStyle w:val="Hesber"/>
        <w:rPr>
          <w:rtl/>
        </w:rPr>
      </w:pPr>
      <w:r w:rsidRPr="00D73212">
        <w:rPr>
          <w:rtl/>
        </w:rPr>
        <w:t>---------------------------------</w:t>
      </w:r>
    </w:p>
    <w:p w14:paraId="3E244793" w14:textId="77777777" w:rsidR="00E7004E" w:rsidRPr="00D73212" w:rsidRDefault="00E7004E" w:rsidP="00E7004E">
      <w:pPr>
        <w:pStyle w:val="Hesber"/>
        <w:rPr>
          <w:rtl/>
        </w:rPr>
      </w:pPr>
      <w:r w:rsidRPr="00D73212">
        <w:rPr>
          <w:rFonts w:hint="cs"/>
          <w:rtl/>
        </w:rPr>
        <w:t>הוגשה</w:t>
      </w:r>
      <w:r w:rsidRPr="00D73212">
        <w:rPr>
          <w:rtl/>
        </w:rPr>
        <w:t xml:space="preserve"> </w:t>
      </w:r>
      <w:r w:rsidRPr="00D73212">
        <w:rPr>
          <w:rFonts w:hint="cs"/>
          <w:rtl/>
        </w:rPr>
        <w:t>ליו</w:t>
      </w:r>
      <w:r w:rsidRPr="00D73212">
        <w:rPr>
          <w:rtl/>
        </w:rPr>
        <w:t>"</w:t>
      </w:r>
      <w:r w:rsidRPr="00D73212">
        <w:rPr>
          <w:rFonts w:hint="cs"/>
          <w:rtl/>
        </w:rPr>
        <w:t>ר</w:t>
      </w:r>
      <w:r w:rsidRPr="00D73212">
        <w:rPr>
          <w:rtl/>
        </w:rPr>
        <w:t xml:space="preserve"> </w:t>
      </w:r>
      <w:r w:rsidRPr="00D73212">
        <w:rPr>
          <w:rFonts w:hint="cs"/>
          <w:rtl/>
        </w:rPr>
        <w:t>הכנסת</w:t>
      </w:r>
      <w:r w:rsidRPr="00D73212">
        <w:rPr>
          <w:rtl/>
        </w:rPr>
        <w:t xml:space="preserve"> </w:t>
      </w:r>
      <w:r w:rsidRPr="00D73212">
        <w:rPr>
          <w:rFonts w:hint="cs"/>
          <w:rtl/>
        </w:rPr>
        <w:t>והסגנים</w:t>
      </w:r>
    </w:p>
    <w:p w14:paraId="10DA9AA3" w14:textId="77777777" w:rsidR="00E7004E" w:rsidRPr="00D73212" w:rsidRDefault="00E7004E" w:rsidP="00E7004E">
      <w:pPr>
        <w:pStyle w:val="Hesber"/>
        <w:rPr>
          <w:rtl/>
        </w:rPr>
      </w:pPr>
      <w:r w:rsidRPr="00D73212">
        <w:rPr>
          <w:rFonts w:hint="cs"/>
          <w:rtl/>
        </w:rPr>
        <w:t>והונחה</w:t>
      </w:r>
      <w:r w:rsidRPr="00D73212">
        <w:rPr>
          <w:rtl/>
        </w:rPr>
        <w:t xml:space="preserve"> </w:t>
      </w:r>
      <w:r w:rsidRPr="00D73212">
        <w:rPr>
          <w:rFonts w:hint="cs"/>
          <w:rtl/>
        </w:rPr>
        <w:t>על</w:t>
      </w:r>
      <w:r w:rsidRPr="00D73212">
        <w:rPr>
          <w:rtl/>
        </w:rPr>
        <w:t xml:space="preserve"> </w:t>
      </w:r>
      <w:r w:rsidRPr="00D73212">
        <w:rPr>
          <w:rFonts w:hint="cs"/>
          <w:rtl/>
        </w:rPr>
        <w:t>שולחן</w:t>
      </w:r>
      <w:r w:rsidRPr="00D73212">
        <w:rPr>
          <w:rtl/>
        </w:rPr>
        <w:t xml:space="preserve"> </w:t>
      </w:r>
      <w:r w:rsidRPr="00D73212">
        <w:rPr>
          <w:rFonts w:hint="cs"/>
          <w:rtl/>
        </w:rPr>
        <w:t>הכנסת</w:t>
      </w:r>
      <w:r w:rsidRPr="00D73212">
        <w:rPr>
          <w:rtl/>
        </w:rPr>
        <w:t xml:space="preserve"> </w:t>
      </w:r>
      <w:r w:rsidRPr="00D73212">
        <w:rPr>
          <w:rFonts w:hint="cs"/>
          <w:rtl/>
        </w:rPr>
        <w:t>ביום</w:t>
      </w:r>
    </w:p>
    <w:p w14:paraId="2D6B1697" w14:textId="77777777" w:rsidR="00E7004E" w:rsidRPr="00317312" w:rsidRDefault="00E7004E" w:rsidP="00E7004E">
      <w:pPr>
        <w:pStyle w:val="Hesber"/>
      </w:pPr>
      <w:r>
        <w:rPr>
          <w:rFonts w:hint="cs"/>
          <w:rtl/>
        </w:rPr>
        <w:t>ט"ו באייר</w:t>
      </w:r>
      <w:r w:rsidRPr="00D73212">
        <w:rPr>
          <w:rtl/>
        </w:rPr>
        <w:t xml:space="preserve"> </w:t>
      </w:r>
      <w:r w:rsidRPr="00D73212">
        <w:rPr>
          <w:rFonts w:hint="cs"/>
          <w:rtl/>
        </w:rPr>
        <w:t>התשע</w:t>
      </w:r>
      <w:r w:rsidRPr="00D73212">
        <w:rPr>
          <w:rtl/>
        </w:rPr>
        <w:t>"</w:t>
      </w:r>
      <w:r>
        <w:rPr>
          <w:rFonts w:hint="cs"/>
          <w:rtl/>
        </w:rPr>
        <w:t xml:space="preserve">ט </w:t>
      </w:r>
      <w:r w:rsidRPr="00D73212">
        <w:rPr>
          <w:rtl/>
        </w:rPr>
        <w:t>–</w:t>
      </w:r>
      <w:r>
        <w:rPr>
          <w:rFonts w:hint="cs"/>
          <w:rtl/>
        </w:rPr>
        <w:t xml:space="preserve"> 20.5</w:t>
      </w:r>
      <w:r w:rsidRPr="00D73212">
        <w:rPr>
          <w:rtl/>
        </w:rPr>
        <w:t>.</w:t>
      </w:r>
      <w:r>
        <w:rPr>
          <w:rFonts w:hint="cs"/>
          <w:rtl/>
        </w:rPr>
        <w:t xml:space="preserve">19  </w:t>
      </w:r>
    </w:p>
    <w:p w14:paraId="49DE0DA8" w14:textId="77777777" w:rsidR="00E7004E" w:rsidRPr="00E7004E" w:rsidRDefault="00E7004E" w:rsidP="00653A04">
      <w:pPr>
        <w:pStyle w:val="Hesber"/>
        <w:rPr>
          <w:rFonts w:hint="cs"/>
          <w:rtl/>
        </w:rPr>
      </w:pPr>
    </w:p>
    <w:p w14:paraId="7F6961CB" w14:textId="77777777" w:rsidR="00E13C27" w:rsidRDefault="00E13C27" w:rsidP="00E13C27">
      <w:pPr>
        <w:pStyle w:val="Hesber"/>
        <w:rPr>
          <w:rtl/>
        </w:rPr>
      </w:pPr>
    </w:p>
    <w:sectPr w:rsidR="00E13C27" w:rsidSect="005E4115">
      <w:footerReference w:type="even" r:id="rId11"/>
      <w:footerReference w:type="default" r:id="rId12"/>
      <w:pgSz w:w="11907" w:h="16840" w:code="9"/>
      <w:pgMar w:top="1701" w:right="1134" w:bottom="1417" w:left="1134" w:header="680" w:footer="680" w:gutter="0"/>
      <w:cols w:space="720"/>
      <w:noEndnote/>
      <w:titlePg/>
      <w:bidi/>
      <w:rtlGutter/>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B1"/>
    <w:family w:val="swiss"/>
    <w:pitch w:val="variable"/>
    <w:sig w:usb0="00000801" w:usb1="00000000" w:usb2="00000000" w:usb3="00000000" w:csb0="0000002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end"/>
    </w:r>
  </w:p>
  <w:p w14:paraId="7F6961D6" w14:textId="77777777" w:rsidR="002C3041" w:rsidRDefault="002C3041">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separate"/>
    </w:r>
    <w:r w:rsidR="00E7004E">
      <w:rPr>
        <w:rStyle w:val="aa"/>
        <w:noProof/>
        <w:rtl/>
      </w:rPr>
      <w:t>2</w:t>
    </w:r>
    <w:r>
      <w:rPr>
        <w:rStyle w:val="aa"/>
        <w:rtl/>
      </w:rPr>
      <w:fldChar w:fldCharType="end"/>
    </w:r>
  </w:p>
  <w:p w14:paraId="7F6961D8" w14:textId="77777777" w:rsidR="002C3041" w:rsidRDefault="002C304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sidP="00DE125C">
      <w:pPr>
        <w:ind w:left="0"/>
      </w:pPr>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1FD64C56" w14:textId="77777777" w:rsidR="006F3893" w:rsidRDefault="006F3893" w:rsidP="006F3893">
      <w:pPr>
        <w:pStyle w:val="a4"/>
      </w:pPr>
      <w:r>
        <w:rPr>
          <w:rStyle w:val="a5"/>
        </w:rPr>
        <w:footnoteRef/>
      </w:r>
      <w:r>
        <w:rPr>
          <w:rtl/>
        </w:rPr>
        <w:t xml:space="preserve"> </w:t>
      </w:r>
      <w:r>
        <w:rPr>
          <w:rFonts w:hint="cs"/>
          <w:rtl/>
        </w:rPr>
        <w:t xml:space="preserve">ס"ח התשל"ב, עמ' 87. </w:t>
      </w:r>
    </w:p>
  </w:footnote>
  <w:footnote w:id="3">
    <w:p w14:paraId="7B3B3842" w14:textId="77777777" w:rsidR="006F3893" w:rsidRDefault="006F3893" w:rsidP="006F3893">
      <w:pPr>
        <w:pStyle w:val="a4"/>
        <w:rPr>
          <w:rtl/>
        </w:rPr>
      </w:pPr>
      <w:r>
        <w:rPr>
          <w:rStyle w:val="a5"/>
        </w:rPr>
        <w:footnoteRef/>
      </w:r>
      <w:r>
        <w:rPr>
          <w:rtl/>
        </w:rPr>
        <w:t xml:space="preserve"> </w:t>
      </w:r>
      <w:r>
        <w:rPr>
          <w:rFonts w:hint="cs"/>
          <w:rtl/>
        </w:rPr>
        <w:t>דיני מדינת ישראל, נוסח חדש 6, עמ' 120</w:t>
      </w:r>
    </w:p>
    <w:p w14:paraId="29EA44F2" w14:textId="77777777" w:rsidR="006F3893" w:rsidRDefault="006F3893" w:rsidP="006F3893">
      <w:pPr>
        <w:pStyle w:val="a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49435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8A2E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E00D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D24B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168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CA2E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EA33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8CFF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38A5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B852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972A86"/>
    <w:multiLevelType w:val="hybridMultilevel"/>
    <w:tmpl w:val="0D5028AE"/>
    <w:lvl w:ilvl="0" w:tplc="FB92B18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5A2B35"/>
    <w:multiLevelType w:val="hybridMultilevel"/>
    <w:tmpl w:val="F61ADD04"/>
    <w:lvl w:ilvl="0" w:tplc="EFC26F30">
      <w:start w:val="1"/>
      <w:numFmt w:val="hebrew1"/>
      <w:pStyle w:val="4"/>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B3B28B0"/>
    <w:multiLevelType w:val="hybridMultilevel"/>
    <w:tmpl w:val="41ACEA96"/>
    <w:lvl w:ilvl="0" w:tplc="06A8C010">
      <w:start w:val="1"/>
      <w:numFmt w:val="decimal"/>
      <w:pStyle w:val="TOC3"/>
      <w:lvlText w:val="%1."/>
      <w:lvlJc w:val="left"/>
      <w:pPr>
        <w:ind w:left="1287" w:hanging="360"/>
      </w:pPr>
      <w:rPr>
        <w:rFonts w:cs="David" w:hint="default"/>
        <w:bCs w:val="0"/>
        <w:iCs w:val="0"/>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753C544D"/>
    <w:multiLevelType w:val="hybridMultilevel"/>
    <w:tmpl w:val="C7443990"/>
    <w:lvl w:ilvl="0" w:tplc="0409000F">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1"/>
  </w:num>
  <w:num w:numId="14">
    <w:abstractNumId w:val="16"/>
  </w:num>
  <w:num w:numId="15">
    <w:abstractNumId w:val="13"/>
  </w:num>
  <w:num w:numId="16">
    <w:abstractNumId w:val="13"/>
    <w:lvlOverride w:ilvl="0">
      <w:startOverride w:val="1"/>
    </w:lvlOverride>
  </w:num>
  <w:num w:numId="17">
    <w:abstractNumId w:val="10"/>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102B6B"/>
    <w:rsid w:val="001052D4"/>
    <w:rsid w:val="0010644B"/>
    <w:rsid w:val="001207F8"/>
    <w:rsid w:val="00121924"/>
    <w:rsid w:val="001279A8"/>
    <w:rsid w:val="0014195F"/>
    <w:rsid w:val="00152609"/>
    <w:rsid w:val="00153E1B"/>
    <w:rsid w:val="001A0623"/>
    <w:rsid w:val="001B2DEF"/>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2F7655"/>
    <w:rsid w:val="003232A2"/>
    <w:rsid w:val="00325C14"/>
    <w:rsid w:val="0036422C"/>
    <w:rsid w:val="003710F6"/>
    <w:rsid w:val="00386E88"/>
    <w:rsid w:val="00396585"/>
    <w:rsid w:val="003D6E38"/>
    <w:rsid w:val="003D74A0"/>
    <w:rsid w:val="004033D8"/>
    <w:rsid w:val="004073F0"/>
    <w:rsid w:val="00412A7D"/>
    <w:rsid w:val="00416B4D"/>
    <w:rsid w:val="00417CFC"/>
    <w:rsid w:val="004A06DC"/>
    <w:rsid w:val="004B24ED"/>
    <w:rsid w:val="004B6625"/>
    <w:rsid w:val="004D2D82"/>
    <w:rsid w:val="004D3876"/>
    <w:rsid w:val="004E4552"/>
    <w:rsid w:val="004E6CDF"/>
    <w:rsid w:val="00553C9D"/>
    <w:rsid w:val="00562A66"/>
    <w:rsid w:val="005B064E"/>
    <w:rsid w:val="005D51AE"/>
    <w:rsid w:val="005E4115"/>
    <w:rsid w:val="0062674B"/>
    <w:rsid w:val="00635828"/>
    <w:rsid w:val="006363B2"/>
    <w:rsid w:val="00644940"/>
    <w:rsid w:val="00653A04"/>
    <w:rsid w:val="006818A9"/>
    <w:rsid w:val="006A2D81"/>
    <w:rsid w:val="006C1D0D"/>
    <w:rsid w:val="006F3893"/>
    <w:rsid w:val="0070601E"/>
    <w:rsid w:val="00712C72"/>
    <w:rsid w:val="00735FE9"/>
    <w:rsid w:val="00763CAA"/>
    <w:rsid w:val="00765F66"/>
    <w:rsid w:val="0078664F"/>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39BD"/>
    <w:rsid w:val="009D6E0A"/>
    <w:rsid w:val="009E1E33"/>
    <w:rsid w:val="00A14672"/>
    <w:rsid w:val="00A26BD6"/>
    <w:rsid w:val="00A33BF1"/>
    <w:rsid w:val="00A443CF"/>
    <w:rsid w:val="00A6611D"/>
    <w:rsid w:val="00A82CB7"/>
    <w:rsid w:val="00A942C1"/>
    <w:rsid w:val="00AA2F03"/>
    <w:rsid w:val="00AC36F7"/>
    <w:rsid w:val="00AC63A4"/>
    <w:rsid w:val="00AD239E"/>
    <w:rsid w:val="00B10265"/>
    <w:rsid w:val="00B16A99"/>
    <w:rsid w:val="00B21211"/>
    <w:rsid w:val="00B35784"/>
    <w:rsid w:val="00B733A7"/>
    <w:rsid w:val="00B75C91"/>
    <w:rsid w:val="00B975AD"/>
    <w:rsid w:val="00BC45FB"/>
    <w:rsid w:val="00BF148D"/>
    <w:rsid w:val="00C23B1A"/>
    <w:rsid w:val="00C310EB"/>
    <w:rsid w:val="00C9176A"/>
    <w:rsid w:val="00CF1AA2"/>
    <w:rsid w:val="00D142D3"/>
    <w:rsid w:val="00D17774"/>
    <w:rsid w:val="00D23854"/>
    <w:rsid w:val="00D63620"/>
    <w:rsid w:val="00D8410D"/>
    <w:rsid w:val="00D867D7"/>
    <w:rsid w:val="00DB7060"/>
    <w:rsid w:val="00DE125C"/>
    <w:rsid w:val="00DE3153"/>
    <w:rsid w:val="00E06736"/>
    <w:rsid w:val="00E13C27"/>
    <w:rsid w:val="00E33BBD"/>
    <w:rsid w:val="00E374F2"/>
    <w:rsid w:val="00E45103"/>
    <w:rsid w:val="00E46B13"/>
    <w:rsid w:val="00E55A60"/>
    <w:rsid w:val="00E62778"/>
    <w:rsid w:val="00E635A2"/>
    <w:rsid w:val="00E63D38"/>
    <w:rsid w:val="00E665B9"/>
    <w:rsid w:val="00E7004E"/>
    <w:rsid w:val="00EA01E6"/>
    <w:rsid w:val="00EA3DE8"/>
    <w:rsid w:val="00EA758F"/>
    <w:rsid w:val="00ED4A6F"/>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F10E4062-EDE3-4C63-A6CA-40280A006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4115"/>
    <w:pPr>
      <w:widowControl w:val="0"/>
      <w:bidi/>
      <w:spacing w:line="360" w:lineRule="auto"/>
      <w:ind w:left="340"/>
      <w:contextualSpacing/>
      <w:jc w:val="both"/>
    </w:pPr>
    <w:rPr>
      <w:rFonts w:ascii="David" w:eastAsiaTheme="minorHAnsi" w:hAnsi="David" w:cs="David"/>
      <w:sz w:val="24"/>
      <w:szCs w:val="24"/>
    </w:rPr>
  </w:style>
  <w:style w:type="paragraph" w:styleId="1">
    <w:name w:val="heading 1"/>
    <w:basedOn w:val="a"/>
    <w:next w:val="a"/>
    <w:link w:val="10"/>
    <w:uiPriority w:val="9"/>
    <w:qFormat/>
    <w:rsid w:val="005E4115"/>
    <w:pPr>
      <w:keepNext/>
      <w:keepLines/>
      <w:spacing w:before="240"/>
      <w:jc w:val="center"/>
      <w:outlineLvl w:val="0"/>
    </w:pPr>
    <w:rPr>
      <w:rFonts w:asciiTheme="majorHAnsi" w:eastAsiaTheme="majorEastAsia" w:hAnsiTheme="majorHAnsi"/>
      <w:bCs/>
      <w:sz w:val="32"/>
      <w:szCs w:val="36"/>
    </w:rPr>
  </w:style>
  <w:style w:type="paragraph" w:styleId="2">
    <w:name w:val="heading 2"/>
    <w:basedOn w:val="a"/>
    <w:next w:val="a"/>
    <w:link w:val="20"/>
    <w:unhideWhenUsed/>
    <w:qFormat/>
    <w:rsid w:val="005E4115"/>
    <w:pPr>
      <w:ind w:left="0"/>
      <w:jc w:val="left"/>
      <w:outlineLvl w:val="1"/>
    </w:pPr>
    <w:rPr>
      <w:rFonts w:asciiTheme="majorHAnsi" w:eastAsiaTheme="majorEastAsia" w:hAnsiTheme="majorHAnsi"/>
      <w:bCs/>
      <w:sz w:val="26"/>
      <w:szCs w:val="36"/>
      <w:u w:val="single"/>
    </w:rPr>
  </w:style>
  <w:style w:type="paragraph" w:styleId="3">
    <w:name w:val="heading 3"/>
    <w:basedOn w:val="a"/>
    <w:next w:val="a"/>
    <w:link w:val="30"/>
    <w:unhideWhenUsed/>
    <w:qFormat/>
    <w:rsid w:val="005E4115"/>
    <w:pPr>
      <w:spacing w:before="40"/>
      <w:ind w:left="0"/>
      <w:jc w:val="left"/>
      <w:outlineLvl w:val="2"/>
    </w:pPr>
    <w:rPr>
      <w:rFonts w:asciiTheme="majorHAnsi" w:eastAsiaTheme="majorEastAsia" w:hAnsiTheme="majorHAnsi"/>
      <w:szCs w:val="28"/>
      <w:u w:val="double"/>
    </w:rPr>
  </w:style>
  <w:style w:type="paragraph" w:styleId="4">
    <w:name w:val="heading 4"/>
    <w:basedOn w:val="a"/>
    <w:next w:val="a"/>
    <w:link w:val="40"/>
    <w:uiPriority w:val="9"/>
    <w:unhideWhenUsed/>
    <w:qFormat/>
    <w:rsid w:val="005E4115"/>
    <w:pPr>
      <w:numPr>
        <w:numId w:val="18"/>
      </w:numPr>
      <w:spacing w:before="40" w:after="120"/>
      <w:outlineLvl w:val="3"/>
    </w:pPr>
    <w:rPr>
      <w:b/>
      <w:bCs/>
      <w:color w:val="000000" w:themeColor="text1"/>
      <w:szCs w:val="28"/>
    </w:rPr>
  </w:style>
  <w:style w:type="paragraph" w:styleId="5">
    <w:name w:val="heading 5"/>
    <w:basedOn w:val="a"/>
    <w:next w:val="a"/>
    <w:link w:val="50"/>
    <w:uiPriority w:val="9"/>
    <w:unhideWhenUsed/>
    <w:qFormat/>
    <w:rsid w:val="005E4115"/>
    <w:pPr>
      <w:spacing w:line="259" w:lineRule="auto"/>
      <w:outlineLvl w:val="4"/>
    </w:pPr>
    <w:rPr>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5E4115"/>
    <w:pPr>
      <w:tabs>
        <w:tab w:val="left" w:pos="1191"/>
        <w:tab w:val="left" w:pos="1587"/>
      </w:tabs>
      <w:snapToGrid w:val="0"/>
      <w:spacing w:before="240" w:after="240" w:line="480" w:lineRule="auto"/>
      <w:jc w:val="center"/>
    </w:pPr>
    <w:rPr>
      <w:rFonts w:ascii="Arial" w:eastAsia="Arial Unicode MS" w:hAnsi="Arial"/>
      <w:snapToGrid w:val="0"/>
      <w:sz w:val="20"/>
      <w:szCs w:val="26"/>
    </w:rPr>
  </w:style>
  <w:style w:type="paragraph" w:customStyle="1" w:styleId="Cover2-HatzaotHok">
    <w:name w:val="Cover 2-HatzaotHok"/>
    <w:basedOn w:val="Cover1-Reshumot"/>
    <w:rsid w:val="005E4115"/>
    <w:rPr>
      <w:sz w:val="36"/>
      <w:szCs w:val="52"/>
    </w:rPr>
  </w:style>
  <w:style w:type="paragraph" w:customStyle="1" w:styleId="Cover3-Haknesset">
    <w:name w:val="Cover 3-Haknesset"/>
    <w:basedOn w:val="Cover1-Reshumot"/>
    <w:rsid w:val="005E4115"/>
    <w:rPr>
      <w:b/>
      <w:bCs/>
      <w:spacing w:val="60"/>
    </w:rPr>
  </w:style>
  <w:style w:type="paragraph" w:customStyle="1" w:styleId="Cover4-Date">
    <w:name w:val="Cover 4-Date"/>
    <w:basedOn w:val="a"/>
    <w:rsid w:val="005E4115"/>
    <w:pPr>
      <w:pBdr>
        <w:bottom w:val="single" w:sz="4" w:space="0" w:color="auto"/>
      </w:pBdr>
      <w:tabs>
        <w:tab w:val="center" w:pos="4820"/>
        <w:tab w:val="right" w:pos="9639"/>
      </w:tabs>
      <w:snapToGrid w:val="0"/>
      <w:spacing w:before="240" w:after="240"/>
      <w:jc w:val="left"/>
    </w:pPr>
    <w:rPr>
      <w:rFonts w:ascii="Arial" w:eastAsia="Arial Unicode MS" w:hAnsi="Arial"/>
      <w:snapToGrid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5E4115"/>
    <w:pPr>
      <w:keepNext/>
      <w:keepLines/>
      <w:pageBreakBefore/>
      <w:snapToGrid w:val="0"/>
      <w:spacing w:before="480"/>
    </w:pPr>
    <w:rPr>
      <w:rFonts w:ascii="Arial" w:eastAsia="Arial Unicode MS" w:hAnsi="Arial"/>
      <w:b/>
      <w:bCs/>
      <w:snapToGrid w:val="0"/>
      <w:sz w:val="20"/>
      <w:szCs w:val="26"/>
    </w:rPr>
  </w:style>
  <w:style w:type="paragraph" w:customStyle="1" w:styleId="HeadHatzaotHok">
    <w:name w:val="Head HatzaotHok"/>
    <w:basedOn w:val="a"/>
    <w:rsid w:val="005E4115"/>
    <w:pPr>
      <w:keepNext/>
      <w:keepLines/>
      <w:snapToGrid w:val="0"/>
      <w:spacing w:before="240"/>
      <w:jc w:val="center"/>
      <w:outlineLvl w:val="0"/>
    </w:pPr>
    <w:rPr>
      <w:rFonts w:ascii="Arial" w:eastAsia="Arial Unicode MS" w:hAnsi="Arial"/>
      <w:b/>
      <w:bCs/>
      <w:snapToGrid w:val="0"/>
      <w:sz w:val="20"/>
      <w:szCs w:val="26"/>
    </w:rPr>
  </w:style>
  <w:style w:type="paragraph" w:customStyle="1" w:styleId="HeadHatzaotHok4Futer">
    <w:name w:val="Head HatzaotHok4Futer"/>
    <w:basedOn w:val="HeadHatzaotHok"/>
    <w:rsid w:val="005E4115"/>
    <w:pPr>
      <w:spacing w:before="120" w:after="120"/>
    </w:pPr>
    <w:rPr>
      <w:color w:val="FF0000"/>
      <w:w w:val="80"/>
    </w:rPr>
  </w:style>
  <w:style w:type="paragraph" w:styleId="a3">
    <w:name w:val="endnote text"/>
    <w:basedOn w:val="a"/>
    <w:semiHidden/>
    <w:rsid w:val="005E4115"/>
    <w:pPr>
      <w:ind w:left="227" w:hanging="227"/>
    </w:pPr>
    <w:rPr>
      <w:sz w:val="14"/>
      <w:szCs w:val="22"/>
    </w:rPr>
  </w:style>
  <w:style w:type="paragraph" w:customStyle="1" w:styleId="TableText">
    <w:name w:val="Table Text"/>
    <w:basedOn w:val="a"/>
    <w:rsid w:val="005E4115"/>
    <w:pPr>
      <w:keepLines/>
      <w:tabs>
        <w:tab w:val="left" w:pos="624"/>
        <w:tab w:val="left" w:pos="1247"/>
      </w:tabs>
      <w:snapToGrid w:val="0"/>
      <w:ind w:left="0"/>
      <w:jc w:val="left"/>
    </w:pPr>
    <w:rPr>
      <w:rFonts w:ascii="Arial" w:eastAsia="Arial Unicode MS" w:hAnsi="Arial"/>
      <w:snapToGrid w:val="0"/>
      <w:sz w:val="20"/>
      <w:szCs w:val="26"/>
    </w:rPr>
  </w:style>
  <w:style w:type="paragraph" w:customStyle="1" w:styleId="TableSideHeading">
    <w:name w:val="Table SideHeading"/>
    <w:basedOn w:val="TableText"/>
    <w:rsid w:val="005E4115"/>
    <w:pPr>
      <w:outlineLvl w:val="2"/>
    </w:pPr>
  </w:style>
  <w:style w:type="paragraph" w:customStyle="1" w:styleId="TableBlock">
    <w:name w:val="Table Block"/>
    <w:basedOn w:val="TableText"/>
    <w:rsid w:val="005E4115"/>
    <w:pPr>
      <w:jc w:val="both"/>
    </w:pPr>
  </w:style>
  <w:style w:type="paragraph" w:customStyle="1" w:styleId="TableHead">
    <w:name w:val="Table Head"/>
    <w:basedOn w:val="TableText"/>
    <w:rsid w:val="005E4115"/>
    <w:pPr>
      <w:jc w:val="center"/>
      <w:outlineLvl w:val="1"/>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5E4115"/>
    <w:pPr>
      <w:outlineLvl w:val="9"/>
    </w:pPr>
  </w:style>
  <w:style w:type="paragraph" w:customStyle="1" w:styleId="Hesber">
    <w:name w:val="Hesber"/>
    <w:basedOn w:val="a"/>
    <w:rsid w:val="005E4115"/>
    <w:pPr>
      <w:snapToGrid w:val="0"/>
      <w:ind w:left="0" w:firstLine="340"/>
    </w:pPr>
    <w:rPr>
      <w:rFonts w:ascii="Arial" w:eastAsia="Arial Unicode MS" w:hAnsi="Arial"/>
      <w:snapToGrid w:val="0"/>
      <w:sz w:val="20"/>
      <w:szCs w:val="26"/>
    </w:rPr>
  </w:style>
  <w:style w:type="paragraph" w:styleId="a4">
    <w:name w:val="footnote text"/>
    <w:basedOn w:val="a"/>
    <w:autoRedefine/>
    <w:semiHidden/>
    <w:rsid w:val="005E4115"/>
    <w:pPr>
      <w:snapToGrid w:val="0"/>
      <w:spacing w:line="240" w:lineRule="auto"/>
      <w:ind w:left="0"/>
      <w:jc w:val="left"/>
    </w:pPr>
    <w:rPr>
      <w:rFonts w:ascii="Arial" w:eastAsia="Arial Unicode MS" w:hAnsi="Arial"/>
      <w:snapToGrid w:val="0"/>
      <w:sz w:val="14"/>
      <w:szCs w:val="20"/>
    </w:rPr>
  </w:style>
  <w:style w:type="character" w:styleId="a5">
    <w:name w:val="footnote reference"/>
    <w:aliases w:val="Footnote Reference"/>
    <w:basedOn w:val="a0"/>
    <w:semiHidden/>
    <w:rsid w:val="005E4115"/>
    <w:rPr>
      <w:vertAlign w:val="superscript"/>
    </w:rPr>
  </w:style>
  <w:style w:type="paragraph" w:customStyle="1" w:styleId="HesberHeading">
    <w:name w:val="Hesber Heading"/>
    <w:basedOn w:val="Hesber"/>
    <w:rsid w:val="005E4115"/>
    <w:pPr>
      <w:tabs>
        <w:tab w:val="left" w:pos="624"/>
        <w:tab w:val="left" w:pos="1247"/>
      </w:tabs>
    </w:pPr>
    <w:rPr>
      <w:b/>
      <w:bCs/>
    </w:rPr>
  </w:style>
  <w:style w:type="paragraph" w:customStyle="1" w:styleId="HesberWriters">
    <w:name w:val="Hesber Writers"/>
    <w:basedOn w:val="Hesber"/>
    <w:rsid w:val="005E4115"/>
    <w:pPr>
      <w:spacing w:before="120" w:after="120"/>
      <w:ind w:left="1418"/>
      <w:jc w:val="right"/>
    </w:pPr>
    <w:rPr>
      <w:b/>
      <w:bCs/>
    </w:rPr>
  </w:style>
  <w:style w:type="paragraph" w:customStyle="1" w:styleId="Hesber1st">
    <w:name w:val="Hesber 1st"/>
    <w:basedOn w:val="Hesber"/>
    <w:rsid w:val="005E4115"/>
    <w:pPr>
      <w:tabs>
        <w:tab w:val="left" w:pos="680"/>
        <w:tab w:val="left" w:pos="1020"/>
      </w:tabs>
      <w:ind w:firstLine="0"/>
    </w:pPr>
  </w:style>
  <w:style w:type="character" w:styleId="a6">
    <w:name w:val="endnote reference"/>
    <w:basedOn w:val="a0"/>
    <w:semiHidden/>
    <w:rsid w:val="005E4115"/>
    <w:rPr>
      <w:vertAlign w:val="superscript"/>
    </w:rPr>
  </w:style>
  <w:style w:type="paragraph" w:customStyle="1" w:styleId="TableBlockOutdent">
    <w:name w:val="Table BlockOutdent"/>
    <w:basedOn w:val="TableBlock"/>
    <w:rsid w:val="005E4115"/>
    <w:pPr>
      <w:ind w:left="624" w:hanging="624"/>
    </w:pPr>
  </w:style>
  <w:style w:type="paragraph" w:styleId="a7">
    <w:name w:val="header"/>
    <w:basedOn w:val="a"/>
    <w:rsid w:val="005E4115"/>
    <w:pPr>
      <w:tabs>
        <w:tab w:val="center" w:pos="4153"/>
        <w:tab w:val="right" w:pos="8306"/>
      </w:tabs>
    </w:pPr>
  </w:style>
  <w:style w:type="paragraph" w:styleId="a8">
    <w:name w:val="footer"/>
    <w:basedOn w:val="a"/>
    <w:rsid w:val="005E4115"/>
    <w:pPr>
      <w:tabs>
        <w:tab w:val="center" w:pos="4153"/>
        <w:tab w:val="right" w:pos="8306"/>
      </w:tabs>
    </w:pPr>
  </w:style>
  <w:style w:type="paragraph" w:customStyle="1" w:styleId="HeadDivreiHesber">
    <w:name w:val="Head DivreiHesber"/>
    <w:basedOn w:val="a"/>
    <w:rsid w:val="005E4115"/>
    <w:pPr>
      <w:snapToGrid w:val="0"/>
      <w:spacing w:before="360" w:after="120"/>
      <w:jc w:val="center"/>
      <w:outlineLvl w:val="1"/>
    </w:pPr>
    <w:rPr>
      <w:rFonts w:ascii="Arial" w:eastAsia="Arial Unicode MS" w:hAnsi="Arial"/>
      <w:b/>
      <w:snapToGrid w:val="0"/>
      <w:spacing w:val="40"/>
      <w:sz w:val="20"/>
      <w:szCs w:val="26"/>
    </w:rPr>
  </w:style>
  <w:style w:type="paragraph" w:customStyle="1" w:styleId="Ragil">
    <w:name w:val="Ragil"/>
    <w:basedOn w:val="a"/>
    <w:rsid w:val="005E4115"/>
    <w:pPr>
      <w:snapToGrid w:val="0"/>
      <w:jc w:val="left"/>
    </w:pPr>
    <w:rPr>
      <w:rFonts w:ascii="Arial" w:eastAsia="Arial Unicode MS" w:hAnsi="Arial"/>
      <w:snapToGrid w:val="0"/>
      <w:sz w:val="20"/>
      <w:szCs w:val="26"/>
    </w:rPr>
  </w:style>
  <w:style w:type="paragraph" w:styleId="a9">
    <w:name w:val="Title"/>
    <w:basedOn w:val="a"/>
    <w:qFormat/>
    <w:rsid w:val="00943386"/>
    <w:pPr>
      <w:jc w:val="center"/>
    </w:pPr>
    <w:rPr>
      <w:b/>
      <w:bCs/>
      <w:sz w:val="28"/>
      <w:szCs w:val="28"/>
      <w:u w:val="single"/>
    </w:rPr>
  </w:style>
  <w:style w:type="character" w:styleId="aa">
    <w:name w:val="page number"/>
    <w:basedOn w:val="a0"/>
    <w:rsid w:val="005E4115"/>
  </w:style>
  <w:style w:type="paragraph" w:customStyle="1" w:styleId="David">
    <w:name w:val="רגיל + (עברית ושפות אחרות) David"/>
    <w:aliases w:val="‏13 נק',מודגש,אחרי:  6 נק'"/>
    <w:basedOn w:val="a"/>
    <w:rsid w:val="001207F8"/>
    <w:pPr>
      <w:jc w:val="left"/>
    </w:pPr>
    <w:rPr>
      <w:sz w:val="26"/>
      <w:szCs w:val="26"/>
    </w:rPr>
  </w:style>
  <w:style w:type="paragraph" w:styleId="ab">
    <w:name w:val="Balloon Text"/>
    <w:basedOn w:val="a"/>
    <w:link w:val="ac"/>
    <w:semiHidden/>
    <w:unhideWhenUsed/>
    <w:rsid w:val="00325C14"/>
    <w:pPr>
      <w:spacing w:line="240" w:lineRule="auto"/>
    </w:pPr>
    <w:rPr>
      <w:rFonts w:ascii="Tahoma" w:hAnsi="Tahoma" w:cs="Tahoma"/>
      <w:sz w:val="16"/>
      <w:szCs w:val="16"/>
    </w:rPr>
  </w:style>
  <w:style w:type="character" w:customStyle="1" w:styleId="ac">
    <w:name w:val="טקסט בלונים תו"/>
    <w:basedOn w:val="a0"/>
    <w:link w:val="ab"/>
    <w:semiHidden/>
    <w:rsid w:val="00325C14"/>
    <w:rPr>
      <w:rFonts w:ascii="Tahoma" w:hAnsi="Tahoma" w:cs="Tahoma"/>
      <w:color w:val="000000"/>
      <w:spacing w:val="1"/>
      <w:sz w:val="16"/>
      <w:szCs w:val="16"/>
      <w:lang w:eastAsia="ja-JP"/>
    </w:rPr>
  </w:style>
  <w:style w:type="character" w:customStyle="1" w:styleId="10">
    <w:name w:val="כותרת 1 תו"/>
    <w:basedOn w:val="a0"/>
    <w:link w:val="1"/>
    <w:uiPriority w:val="9"/>
    <w:rsid w:val="005E4115"/>
    <w:rPr>
      <w:rFonts w:asciiTheme="majorHAnsi" w:eastAsiaTheme="majorEastAsia" w:hAnsiTheme="majorHAnsi" w:cs="David"/>
      <w:bCs/>
      <w:sz w:val="32"/>
      <w:szCs w:val="36"/>
    </w:rPr>
  </w:style>
  <w:style w:type="character" w:customStyle="1" w:styleId="20">
    <w:name w:val="כותרת 2 תו"/>
    <w:basedOn w:val="a0"/>
    <w:link w:val="2"/>
    <w:rsid w:val="005E4115"/>
    <w:rPr>
      <w:rFonts w:asciiTheme="majorHAnsi" w:eastAsiaTheme="majorEastAsia" w:hAnsiTheme="majorHAnsi" w:cs="David"/>
      <w:bCs/>
      <w:sz w:val="26"/>
      <w:szCs w:val="36"/>
      <w:u w:val="single"/>
    </w:rPr>
  </w:style>
  <w:style w:type="character" w:customStyle="1" w:styleId="30">
    <w:name w:val="כותרת 3 תו"/>
    <w:basedOn w:val="a0"/>
    <w:link w:val="3"/>
    <w:rsid w:val="005E4115"/>
    <w:rPr>
      <w:rFonts w:asciiTheme="majorHAnsi" w:eastAsiaTheme="majorEastAsia" w:hAnsiTheme="majorHAnsi" w:cs="David"/>
      <w:sz w:val="24"/>
      <w:szCs w:val="28"/>
      <w:u w:val="double"/>
    </w:rPr>
  </w:style>
  <w:style w:type="character" w:customStyle="1" w:styleId="40">
    <w:name w:val="כותרת 4 תו"/>
    <w:basedOn w:val="a0"/>
    <w:link w:val="4"/>
    <w:uiPriority w:val="9"/>
    <w:rsid w:val="005E4115"/>
    <w:rPr>
      <w:rFonts w:ascii="David" w:eastAsiaTheme="minorHAnsi" w:hAnsi="David" w:cs="David"/>
      <w:b/>
      <w:bCs/>
      <w:color w:val="000000" w:themeColor="text1"/>
      <w:sz w:val="24"/>
      <w:szCs w:val="28"/>
    </w:rPr>
  </w:style>
  <w:style w:type="character" w:customStyle="1" w:styleId="50">
    <w:name w:val="כותרת 5 תו"/>
    <w:basedOn w:val="a0"/>
    <w:link w:val="5"/>
    <w:uiPriority w:val="9"/>
    <w:rsid w:val="005E4115"/>
    <w:rPr>
      <w:rFonts w:ascii="David" w:eastAsiaTheme="minorHAnsi" w:hAnsi="David" w:cs="David"/>
      <w:color w:val="000000" w:themeColor="text1"/>
      <w:sz w:val="24"/>
      <w:szCs w:val="24"/>
    </w:rPr>
  </w:style>
  <w:style w:type="paragraph" w:styleId="ad">
    <w:name w:val="TOC Heading"/>
    <w:basedOn w:val="1"/>
    <w:next w:val="a"/>
    <w:uiPriority w:val="39"/>
    <w:unhideWhenUsed/>
    <w:qFormat/>
    <w:rsid w:val="005E4115"/>
    <w:pPr>
      <w:widowControl/>
      <w:spacing w:before="120" w:after="120"/>
      <w:outlineLvl w:val="9"/>
    </w:pPr>
    <w:rPr>
      <w:rtl/>
      <w:cs/>
    </w:rPr>
  </w:style>
  <w:style w:type="paragraph" w:styleId="TOC1">
    <w:name w:val="toc 1"/>
    <w:basedOn w:val="a"/>
    <w:next w:val="a"/>
    <w:autoRedefine/>
    <w:uiPriority w:val="39"/>
    <w:unhideWhenUsed/>
    <w:rsid w:val="005E4115"/>
    <w:pPr>
      <w:tabs>
        <w:tab w:val="right" w:leader="dot" w:pos="9629"/>
      </w:tabs>
      <w:spacing w:after="100"/>
    </w:pPr>
    <w:rPr>
      <w:bCs/>
      <w:szCs w:val="22"/>
    </w:rPr>
  </w:style>
  <w:style w:type="paragraph" w:styleId="TOC2">
    <w:name w:val="toc 2"/>
    <w:basedOn w:val="a"/>
    <w:next w:val="a"/>
    <w:uiPriority w:val="39"/>
    <w:unhideWhenUsed/>
    <w:rsid w:val="005E4115"/>
    <w:pPr>
      <w:tabs>
        <w:tab w:val="right" w:leader="dot" w:pos="9628"/>
      </w:tabs>
      <w:spacing w:after="100"/>
    </w:pPr>
    <w:rPr>
      <w:szCs w:val="22"/>
    </w:rPr>
  </w:style>
  <w:style w:type="character" w:styleId="Hyperlink">
    <w:name w:val="Hyperlink"/>
    <w:basedOn w:val="a0"/>
    <w:uiPriority w:val="99"/>
    <w:unhideWhenUsed/>
    <w:rsid w:val="005E4115"/>
    <w:rPr>
      <w:color w:val="0000FF" w:themeColor="hyperlink"/>
      <w:u w:val="single"/>
    </w:rPr>
  </w:style>
  <w:style w:type="paragraph" w:styleId="TOC3">
    <w:name w:val="toc 3"/>
    <w:basedOn w:val="a"/>
    <w:next w:val="a"/>
    <w:uiPriority w:val="39"/>
    <w:unhideWhenUsed/>
    <w:rsid w:val="005E4115"/>
    <w:pPr>
      <w:numPr>
        <w:numId w:val="21"/>
      </w:numPr>
      <w:tabs>
        <w:tab w:val="right" w:leader="dot" w:pos="9629"/>
      </w:tabs>
      <w:spacing w:after="100"/>
      <w:ind w:left="811" w:hanging="357"/>
    </w:pPr>
    <w:rPr>
      <w:szCs w:val="22"/>
    </w:rPr>
  </w:style>
  <w:style w:type="paragraph" w:styleId="TOC4">
    <w:name w:val="toc 4"/>
    <w:basedOn w:val="a"/>
    <w:next w:val="a"/>
    <w:autoRedefine/>
    <w:unhideWhenUsed/>
    <w:qFormat/>
    <w:rsid w:val="005E4115"/>
    <w:pPr>
      <w:tabs>
        <w:tab w:val="right" w:leader="dot" w:pos="9628"/>
      </w:tabs>
      <w:spacing w:after="100"/>
      <w:ind w:left="567"/>
    </w:pPr>
    <w:rPr>
      <w:rFonts w:asciiTheme="minorHAnsi" w:eastAsiaTheme="minorEastAsia" w:hAnsiTheme="minorHAnsi"/>
      <w:noProof/>
      <w:sz w:val="22"/>
      <w:szCs w:val="22"/>
    </w:rPr>
  </w:style>
  <w:style w:type="paragraph" w:styleId="TOC5">
    <w:name w:val="toc 5"/>
    <w:basedOn w:val="a"/>
    <w:next w:val="a"/>
    <w:semiHidden/>
    <w:unhideWhenUsed/>
    <w:rsid w:val="005E4115"/>
    <w:pPr>
      <w:tabs>
        <w:tab w:val="right" w:leader="dot" w:pos="9628"/>
      </w:tabs>
      <w:spacing w:after="100"/>
      <w:ind w:left="567"/>
    </w:pPr>
    <w:rPr>
      <w:szCs w:val="22"/>
    </w:rPr>
  </w:style>
  <w:style w:type="paragraph" w:styleId="TOC6">
    <w:name w:val="toc 6"/>
    <w:basedOn w:val="a"/>
    <w:next w:val="a"/>
    <w:autoRedefine/>
    <w:semiHidden/>
    <w:unhideWhenUsed/>
    <w:rsid w:val="005E4115"/>
    <w:pPr>
      <w:spacing w:after="100"/>
      <w:ind w:left="850"/>
    </w:pPr>
  </w:style>
  <w:style w:type="paragraph" w:styleId="TOC7">
    <w:name w:val="toc 7"/>
    <w:basedOn w:val="a"/>
    <w:next w:val="a"/>
    <w:autoRedefine/>
    <w:semiHidden/>
    <w:unhideWhenUsed/>
    <w:rsid w:val="005E4115"/>
    <w:pPr>
      <w:spacing w:after="100"/>
      <w:ind w:left="1020"/>
    </w:pPr>
  </w:style>
  <w:style w:type="paragraph" w:styleId="TOC8">
    <w:name w:val="toc 8"/>
    <w:basedOn w:val="a"/>
    <w:next w:val="a"/>
    <w:autoRedefine/>
    <w:semiHidden/>
    <w:unhideWhenUsed/>
    <w:rsid w:val="005E4115"/>
    <w:pPr>
      <w:spacing w:after="100"/>
      <w:ind w:left="1190"/>
    </w:pPr>
  </w:style>
  <w:style w:type="paragraph" w:styleId="TOC9">
    <w:name w:val="toc 9"/>
    <w:basedOn w:val="a"/>
    <w:next w:val="a"/>
    <w:autoRedefine/>
    <w:semiHidden/>
    <w:unhideWhenUsed/>
    <w:rsid w:val="005E4115"/>
    <w:pPr>
      <w:spacing w:after="100"/>
      <w:ind w:left="1360"/>
    </w:pPr>
  </w:style>
  <w:style w:type="paragraph" w:customStyle="1" w:styleId="TableHead2">
    <w:name w:val="Table Head2"/>
    <w:basedOn w:val="TableHead"/>
    <w:qFormat/>
    <w:rsid w:val="005E4115"/>
    <w:pPr>
      <w:outlineLvl w:val="9"/>
    </w:pPr>
  </w:style>
  <w:style w:type="paragraph" w:customStyle="1" w:styleId="TableSideHeading2">
    <w:name w:val="Table SideHeading2"/>
    <w:basedOn w:val="TableSideHeading"/>
    <w:autoRedefine/>
    <w:qFormat/>
    <w:rsid w:val="005E4115"/>
    <w:pPr>
      <w:keepLines w:val="0"/>
      <w:outlineLvl w:val="9"/>
    </w:pPr>
  </w:style>
  <w:style w:type="paragraph" w:customStyle="1" w:styleId="0">
    <w:name w:val="סגנון שורה ראשונה:  0  ס''מ"/>
    <w:basedOn w:val="2"/>
    <w:rsid w:val="005E4115"/>
    <w:rPr>
      <w:rFonts w:eastAsia="Times New Roman"/>
    </w:rPr>
  </w:style>
  <w:style w:type="paragraph" w:styleId="ae">
    <w:name w:val="List Paragraph"/>
    <w:basedOn w:val="a"/>
    <w:uiPriority w:val="34"/>
    <w:qFormat/>
    <w:rsid w:val="005E4115"/>
    <w:pPr>
      <w:widowControl/>
      <w:spacing w:line="259" w:lineRule="auto"/>
    </w:pPr>
    <w:rPr>
      <w:rFonts w:asciiTheme="minorHAnsi" w:hAnsiTheme="minorHAnsi"/>
      <w:sz w:val="22"/>
    </w:rPr>
  </w:style>
  <w:style w:type="table" w:styleId="af">
    <w:name w:val="Table Grid"/>
    <w:basedOn w:val="a1"/>
    <w:rsid w:val="005E4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Plain Table 1"/>
    <w:basedOn w:val="a1"/>
    <w:uiPriority w:val="41"/>
    <w:rsid w:val="005E411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2">
    <w:name w:val="Grid Table 1 Light"/>
    <w:basedOn w:val="a1"/>
    <w:uiPriority w:val="46"/>
    <w:rsid w:val="005E411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0">
    <w:name w:val="טבלת חקיקה"/>
    <w:basedOn w:val="a1"/>
    <w:uiPriority w:val="99"/>
    <w:rsid w:val="005E4115"/>
    <w:pPr>
      <w:jc w:val="center"/>
    </w:pPr>
    <w:rPr>
      <w:rFonts w:cstheme="minorBidi"/>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table" w:customStyle="1" w:styleId="13">
    <w:name w:val="סגנון1"/>
    <w:basedOn w:val="a1"/>
    <w:uiPriority w:val="99"/>
    <w:rsid w:val="005E4115"/>
    <w:tblPr/>
    <w:tblStylePr w:type="firstCol">
      <w:pPr>
        <w:keepNext w:val="0"/>
        <w:keepLines/>
        <w:pageBreakBefore w:val="0"/>
        <w:widowControl w:val="0"/>
        <w:suppressLineNumbers w:val="0"/>
        <w:suppressAutoHyphens w:val="0"/>
        <w:wordWrap/>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מסמך" ma:contentTypeID="0x010100697467741CB98040970A6DBBC195775F" ma:contentTypeVersion="" ma:contentTypeDescription="צור מסמך חדש." ma:contentTypeScope="" ma:versionID="6e55fc6acbead604c2f45a2c1dd20751">
  <xsd:schema xmlns:xsd="http://www.w3.org/2001/XMLSchema" xmlns:xs="http://www.w3.org/2001/XMLSchema" xmlns:p="http://schemas.microsoft.com/office/2006/metadata/properties" targetNamespace="http://schemas.microsoft.com/office/2006/metadata/properties" ma:root="true" ma:fieldsID="095a2728251a2ce93c0626b1f2c5b5f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AFE3-9455-419C-8851-785A55F4451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EFF241DC-8774-48AA-8D50-321DB483E5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4.xml><?xml version="1.0" encoding="utf-8"?>
<ds:datastoreItem xmlns:ds="http://schemas.openxmlformats.org/officeDocument/2006/customXml" ds:itemID="{E8EA8FEA-A223-4891-A929-93778C827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2</Pages>
  <Words>446</Words>
  <Characters>2230</Characters>
  <Application>Microsoft Office Word</Application>
  <DocSecurity>0</DocSecurity>
  <Lines>18</Lines>
  <Paragraphs>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2671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לילך יעיש</cp:lastModifiedBy>
  <cp:revision>10</cp:revision>
  <cp:lastPrinted>2019-05-19T08:32:00Z</cp:lastPrinted>
  <dcterms:created xsi:type="dcterms:W3CDTF">2015-04-20T09:58:00Z</dcterms:created>
  <dcterms:modified xsi:type="dcterms:W3CDTF">2019-05-19T08:32:00Z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0x010100697467741CB98040970A6DBBC195775F</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2078750</vt:r8>
  </property>
</Properties>
</file>