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2078687</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ואחת</w:t>
      </w:r>
      <w:bookmarkEnd w:id="1"/>
    </w:p>
    <w:p w:rsidRPr="00F67051" w:rsidR="00E13C27" w:rsidP="00E13C27" w:rsidRDefault="00E13C27" w14:paraId="7F6961A3" w14:textId="77777777">
      <w:pPr>
        <w:rPr>
          <w:rFonts w:cs="David"/>
          <w:b/>
          <w:bCs/>
          <w:sz w:val="26"/>
          <w:szCs w:val="26"/>
          <w:rtl/>
        </w:rPr>
      </w:pPr>
    </w:p>
    <w:p w:rsidR="00E13C27" w:rsidP="00930EFE" w:rsidRDefault="008F6665" w14:paraId="7F6961A6" w14:textId="77777777">
      <w:pPr>
        <w:pStyle w:val="David"/>
        <w:spacing w:line="360" w:lineRule="auto"/>
        <w:ind w:left="3544"/>
        <w:rPr>
          <w:b/>
          <w:bCs/>
          <w:rtl/>
        </w:rPr>
      </w:pPr>
      <w:bookmarkStart w:name="LGS_Initiators_List" w:id="2"/>
      <w:r xmlns:w="http://schemas.openxmlformats.org/wordprocessingml/2006/main">
        <w:rPr xmlns:w="http://schemas.openxmlformats.org/wordprocessingml/2006/main">
          <w:b/>
          <w:bCs/>
          <w:rtl/>
        </w:rPr>
        <w:t xml:space="preserve">יוזמים:      חברי הכנסת</w:t>
      </w:r>
      <w:bookmarkEnd w:id="2"/>
      <w:r w:rsidRPr="00F67051" w:rsidR="00B35784">
        <w:rPr>
          <w:b/>
          <w:bCs/>
        </w:rPr>
        <w:tab/>
      </w:r>
      <w:bookmarkStart w:name="LGS_PM_Names" w:id="3"/>
      <w:r xmlns:w="http://schemas.openxmlformats.org/wordprocessingml/2006/main">
        <w:rPr xmlns:w="http://schemas.openxmlformats.org/wordprocessingml/2006/main">
          <w:rFonts w:hint="cs"/>
          <w:b/>
          <w:bCs/>
          <w:rtl/>
        </w:rPr>
        <w:t xml:space="preserve">מאיר כהן</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יעל גרמן</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אלעזר שטרן</w:t>
      </w:r>
      <w:bookmarkEnd w:id="3"/>
    </w:p>
    <w:p w:rsidRPr="00CF1AA2" w:rsidR="00E13C27" w:rsidP="0036422C" w:rsidRDefault="007D585A" w14:paraId="7F6961AA" w14:textId="39F9D96B">
      <w:pPr>
        <w:pStyle w:val="David"/>
        <w:spacing w:before="0" w:line="360" w:lineRule="auto"/>
        <w:ind w:left="3544"/>
        <w:rPr>
          <w:b/>
          <w:bCs/>
          <w:sz w:val="16"/>
          <w:szCs w:val="16"/>
          <w:rtl/>
        </w:rPr>
      </w:pPr>
      <w:bookmarkStart w:name="LGS_Join_List" w:id="4"/>
      <w:r>
        <w:rPr>
          <w:rtl/>
        </w:rPr>
        <w:t xml:space="preserve"> </w:t>
      </w:r>
      <w:bookmarkEnd w:id="4"/>
      <w:r w:rsidRPr="00CF1AA2" w:rsidR="002200A1">
        <w:rPr>
          <w:rFonts w:hint="cs"/>
          <w:rtl/>
        </w:rPr>
        <w:tab/>
      </w:r>
      <w:bookmarkStart w:name="LGS_PM_NamesJoin" w:id="5"/>
      <w:r>
        <w:rPr>
          <w:rFonts w:hint="cs"/>
          <w:rtl/>
        </w:rPr>
        <w:t xml:space="preserve"> </w:t>
      </w:r>
      <w:bookmarkEnd w:id="5"/>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04591" w:rsidRDefault="00904591" w14:paraId="7F6961AB" w14:textId="256138AA">
      <w:pPr>
        <w:pStyle w:val="David"/>
        <w:spacing w:before="0" w:line="240" w:lineRule="auto"/>
        <w:ind w:left="3544"/>
        <w:rPr>
          <w:rtl/>
        </w:rPr>
      </w:pPr>
      <w:r>
        <w:t xml:space="preserve">                                            </w:t>
      </w:r>
      <w:r w:rsidR="008F1308">
        <w:t xml:space="preserve"> </w:t>
      </w:r>
      <w:bookmarkStart w:name="Private_Number" w:id="6"/>
      <w:r>
        <w:rPr>
          <w:rFonts w:hint="cs"/>
          <w:rtl/>
        </w:rPr>
        <w:t>פ/31/21</w:t>
      </w:r>
      <w:bookmarkEnd w:id="6"/>
    </w:p>
    <w:p w:rsidR="00E13C27" w:rsidP="00E13C27" w:rsidRDefault="00E13C27" w14:paraId="7F6961AC" w14:textId="77777777">
      <w:pPr>
        <w:spacing w:before="0" w:line="360" w:lineRule="auto"/>
        <w:ind w:left="2880" w:firstLine="720"/>
        <w:rPr>
          <w:rFonts w:cs="David"/>
          <w:sz w:val="26"/>
          <w:szCs w:val="26"/>
          <w:rtl/>
        </w:rPr>
      </w:pPr>
    </w:p>
    <w:p w:rsidRPr="00F67051" w:rsidR="00E13C27" w:rsidP="005502AA" w:rsidRDefault="00A443CF" w14:paraId="7F6961AD" w14:textId="12D0F104">
      <w:pPr>
        <w:pStyle w:val="HeadHatzaotHok"/>
        <w:rPr>
          <w:rtl/>
        </w:rPr>
      </w:pPr>
      <w:bookmarkStart w:name="LGS_Subject" w:id="7"/>
      <w:r>
        <w:rPr>
          <w:rFonts w:hint="cs"/>
          <w:rtl/>
        </w:rPr>
        <w:t>הצעת חוק הביטוח הלאומי (תיקון – תשלום קצבת ילדים לאחר גיל 18 בעד ילד המשרת בשירות צבאי, לאומי או אזרחי), התשע"ט–2019</w:t>
      </w:r>
      <w:bookmarkEnd w:id="7"/>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7146"/>
      </w:tblGrid>
      <w:tr w:rsidR="00D069C6" w:rsidTr="00EC549B" w14:paraId="60BABEA0" w14:textId="77777777">
        <w:trPr>
          <w:cantSplit/>
        </w:trPr>
        <w:tc>
          <w:tcPr>
            <w:tcW w:w="1871" w:type="dxa"/>
          </w:tcPr>
          <w:p w:rsidRPr="007676F7" w:rsidR="00D069C6" w:rsidP="00F06711" w:rsidRDefault="00D069C6" w14:paraId="0338E2B3" w14:textId="77777777">
            <w:pPr>
              <w:pStyle w:val="TableSideHeading"/>
              <w:ind w:right="0"/>
              <w:rPr>
                <w:rtl/>
              </w:rPr>
            </w:pPr>
            <w:r w:rsidRPr="007676F7">
              <w:rPr>
                <w:rtl/>
              </w:rPr>
              <w:t>תיקון סעיף 1</w:t>
            </w:r>
          </w:p>
        </w:tc>
        <w:tc>
          <w:tcPr>
            <w:tcW w:w="624" w:type="dxa"/>
          </w:tcPr>
          <w:p w:rsidRPr="007676F7" w:rsidR="00D069C6" w:rsidP="00F06711" w:rsidRDefault="00D069C6" w14:paraId="385D97F6" w14:textId="77777777">
            <w:pPr>
              <w:pStyle w:val="TableText"/>
              <w:ind w:right="0"/>
              <w:jc w:val="both"/>
            </w:pPr>
            <w:r w:rsidRPr="007676F7">
              <w:rPr>
                <w:rtl/>
              </w:rPr>
              <w:t>1.</w:t>
            </w:r>
          </w:p>
        </w:tc>
        <w:tc>
          <w:tcPr>
            <w:tcW w:w="7146" w:type="dxa"/>
          </w:tcPr>
          <w:p w:rsidRPr="007676F7" w:rsidR="00D069C6" w:rsidP="007676F7" w:rsidRDefault="00D069C6" w14:paraId="799B9547" w14:textId="77777777">
            <w:pPr>
              <w:pStyle w:val="TableBlock"/>
            </w:pPr>
            <w:r w:rsidRPr="007676F7">
              <w:rPr>
                <w:rtl/>
              </w:rPr>
              <w:t>בחוק הביטוח הלאומי [נוסח משולב], התשנ"ה–1995</w:t>
            </w:r>
            <w:r w:rsidRPr="00F06711">
              <w:rPr>
                <w:vertAlign w:val="superscript"/>
                <w:rtl/>
              </w:rPr>
              <w:footnoteReference w:id="2"/>
            </w:r>
            <w:r w:rsidRPr="007676F7">
              <w:rPr>
                <w:rtl/>
              </w:rPr>
              <w:t>, בסעיף 65, בהגדרה ילד, אחרי "ולא מלאו לו 18 שנים" יבוא "או אם מלאו לילד 18 שנים והוא משרת בשירות סדיר כהגדרתו בחוק קליטת חיילים משוחררים, התשנ"ד–1994</w:t>
            </w:r>
            <w:r w:rsidRPr="00F06711">
              <w:rPr>
                <w:vertAlign w:val="superscript"/>
                <w:rtl/>
              </w:rPr>
              <w:footnoteReference w:id="3"/>
            </w:r>
            <w:r w:rsidRPr="007676F7">
              <w:rPr>
                <w:rtl/>
              </w:rPr>
              <w:t xml:space="preserve">". </w:t>
            </w:r>
          </w:p>
        </w:tc>
      </w:tr>
    </w:tbl>
    <w:p w:rsidRPr="00F06711" w:rsidR="002D1EE3" w:rsidP="00F06711" w:rsidRDefault="002D1EE3" w14:paraId="7F6961CA" w14:textId="77777777">
      <w:pPr>
        <w:pStyle w:val="HeadDivreiHesber"/>
        <w:rPr>
          <w:rtl/>
        </w:rPr>
      </w:pPr>
      <w:r w:rsidRPr="00F06711">
        <w:rPr>
          <w:rFonts w:hint="cs"/>
          <w:rtl/>
        </w:rPr>
        <w:t>דברי הסבר</w:t>
      </w:r>
    </w:p>
    <w:p w:rsidRPr="00F06711" w:rsidR="00D069C6" w:rsidP="00F06711" w:rsidRDefault="00D069C6" w14:paraId="2B4BBF9F" w14:textId="10C7B4ED">
      <w:pPr>
        <w:pStyle w:val="Hesber"/>
        <w:rPr>
          <w:rtl/>
        </w:rPr>
      </w:pPr>
      <w:r w:rsidRPr="00F06711">
        <w:rPr>
          <w:rFonts w:hint="cs"/>
          <w:rtl/>
        </w:rPr>
        <w:t>פרק ד' בחוק הביטוח הלאומי [נוסח משולב], התשנ"ה</w:t>
      </w:r>
      <w:r w:rsidRPr="00F06711">
        <w:rPr>
          <w:rFonts w:hint="eastAsia"/>
          <w:rtl/>
        </w:rPr>
        <w:t>–1995, קובע</w:t>
      </w:r>
      <w:r w:rsidRPr="00F06711">
        <w:rPr>
          <w:rFonts w:hint="cs"/>
          <w:rtl/>
        </w:rPr>
        <w:t xml:space="preserve"> כי קצבת ילדים תשולם </w:t>
      </w:r>
      <w:r w:rsidRPr="00F06711">
        <w:rPr>
          <w:rFonts w:hint="eastAsia"/>
          <w:rtl/>
        </w:rPr>
        <w:t xml:space="preserve"> </w:t>
      </w:r>
      <w:r w:rsidRPr="00F06711">
        <w:rPr>
          <w:rFonts w:hint="cs"/>
          <w:rtl/>
        </w:rPr>
        <w:t>ל</w:t>
      </w:r>
      <w:r w:rsidRPr="00F06711" w:rsidR="00391367">
        <w:rPr>
          <w:rFonts w:hint="cs"/>
          <w:rtl/>
        </w:rPr>
        <w:t>הורה מבוטח שזכאי לכך בעד כל ילד</w:t>
      </w:r>
      <w:r w:rsidRPr="00F06711">
        <w:rPr>
          <w:rFonts w:hint="cs"/>
          <w:rtl/>
        </w:rPr>
        <w:t xml:space="preserve"> וזאת במטרה </w:t>
      </w:r>
      <w:r w:rsidRPr="00F06711">
        <w:rPr>
          <w:rtl/>
        </w:rPr>
        <w:t xml:space="preserve">לסייע בנטל </w:t>
      </w:r>
      <w:r w:rsidRPr="00F06711">
        <w:rPr>
          <w:rFonts w:hint="cs"/>
          <w:rtl/>
        </w:rPr>
        <w:t xml:space="preserve">הכלכלי </w:t>
      </w:r>
      <w:r w:rsidRPr="00F06711">
        <w:rPr>
          <w:rtl/>
        </w:rPr>
        <w:t xml:space="preserve">של גידול ילדים. עם זאת, </w:t>
      </w:r>
      <w:r w:rsidRPr="00F06711">
        <w:rPr>
          <w:rFonts w:hint="cs"/>
          <w:rtl/>
        </w:rPr>
        <w:t>הזכאות לקצבת ילדים פוקעת בגיל 18, כש</w:t>
      </w:r>
      <w:r w:rsidRPr="00F06711">
        <w:rPr>
          <w:rtl/>
        </w:rPr>
        <w:t>הילד</w:t>
      </w:r>
      <w:r w:rsidRPr="00F06711">
        <w:rPr>
          <w:rFonts w:hint="cs"/>
          <w:rtl/>
        </w:rPr>
        <w:t xml:space="preserve"> שבעדו משתלמת הקצבה מתגייס לצבא או משרת ב</w:t>
      </w:r>
      <w:r w:rsidRPr="00F06711" w:rsidR="00391367">
        <w:rPr>
          <w:rFonts w:hint="cs"/>
          <w:rtl/>
        </w:rPr>
        <w:t>שירות אזרחי או לאומי. בתקופה זו</w:t>
      </w:r>
      <w:r w:rsidRPr="00F06711">
        <w:rPr>
          <w:rFonts w:hint="cs"/>
          <w:rtl/>
        </w:rPr>
        <w:t xml:space="preserve"> שבה הילד </w:t>
      </w:r>
      <w:r w:rsidRPr="00F06711">
        <w:rPr>
          <w:rtl/>
        </w:rPr>
        <w:t xml:space="preserve">משתכר </w:t>
      </w:r>
      <w:r w:rsidRPr="00F06711">
        <w:rPr>
          <w:rFonts w:hint="cs"/>
          <w:rtl/>
        </w:rPr>
        <w:t xml:space="preserve">שכר נמוך </w:t>
      </w:r>
      <w:r w:rsidRPr="00F06711">
        <w:rPr>
          <w:rtl/>
        </w:rPr>
        <w:t>שאי</w:t>
      </w:r>
      <w:r w:rsidRPr="00F06711" w:rsidR="00391367">
        <w:rPr>
          <w:rFonts w:hint="cs"/>
          <w:rtl/>
        </w:rPr>
        <w:t>נו מספיק למחייה</w:t>
      </w:r>
      <w:r w:rsidRPr="00F06711">
        <w:rPr>
          <w:rFonts w:hint="cs"/>
          <w:rtl/>
        </w:rPr>
        <w:t xml:space="preserve"> </w:t>
      </w:r>
      <w:r w:rsidRPr="00F06711">
        <w:rPr>
          <w:rtl/>
        </w:rPr>
        <w:t>הוא נותר סמוך על שולח</w:t>
      </w:r>
      <w:r w:rsidRPr="00F06711">
        <w:rPr>
          <w:rFonts w:hint="cs"/>
          <w:rtl/>
        </w:rPr>
        <w:t>ן</w:t>
      </w:r>
      <w:r w:rsidRPr="00F06711">
        <w:rPr>
          <w:rtl/>
        </w:rPr>
        <w:t xml:space="preserve"> הוריו ונזקק לתמיכתם הכלכלית גם אם חלק מהחיילים לנים </w:t>
      </w:r>
      <w:r w:rsidRPr="00F06711">
        <w:rPr>
          <w:rFonts w:hint="cs"/>
          <w:rtl/>
        </w:rPr>
        <w:t xml:space="preserve">ואוכלים </w:t>
      </w:r>
      <w:r w:rsidRPr="00F06711">
        <w:rPr>
          <w:rtl/>
        </w:rPr>
        <w:t>בבסיס</w:t>
      </w:r>
      <w:r w:rsidRPr="00F06711">
        <w:rPr>
          <w:rFonts w:hint="cs"/>
          <w:rtl/>
        </w:rPr>
        <w:t xml:space="preserve"> שבו הם משרתים</w:t>
      </w:r>
      <w:r w:rsidRPr="00F06711">
        <w:rPr>
          <w:rtl/>
        </w:rPr>
        <w:t xml:space="preserve">. </w:t>
      </w:r>
    </w:p>
    <w:p w:rsidRPr="00F06711" w:rsidR="00D069C6" w:rsidP="00F06711" w:rsidRDefault="00D069C6" w14:paraId="14030E22" w14:textId="2A51E10F">
      <w:pPr>
        <w:pStyle w:val="Hesber"/>
        <w:rPr>
          <w:rtl/>
        </w:rPr>
      </w:pPr>
      <w:r w:rsidRPr="00F06711">
        <w:rPr>
          <w:rFonts w:hint="cs"/>
          <w:rtl/>
        </w:rPr>
        <w:t>בית המשפט העליון קבע כדלקמן (ע"א 4480</w:t>
      </w:r>
      <w:r w:rsidRPr="00F06711" w:rsidR="00391367">
        <w:rPr>
          <w:rFonts w:hint="cs"/>
          <w:rtl/>
        </w:rPr>
        <w:t>/93</w:t>
      </w:r>
      <w:r w:rsidRPr="00F06711">
        <w:rPr>
          <w:rFonts w:hint="cs"/>
          <w:rtl/>
        </w:rPr>
        <w:t xml:space="preserve"> </w:t>
      </w:r>
      <w:r w:rsidRPr="00F06711">
        <w:rPr>
          <w:rFonts w:hint="eastAsia"/>
          <w:rtl/>
        </w:rPr>
        <w:t>פלוני</w:t>
      </w:r>
      <w:r w:rsidRPr="00F06711">
        <w:rPr>
          <w:rtl/>
        </w:rPr>
        <w:t xml:space="preserve"> </w:t>
      </w:r>
      <w:r w:rsidRPr="00F06711">
        <w:rPr>
          <w:rFonts w:hint="eastAsia"/>
          <w:rtl/>
        </w:rPr>
        <w:t>נ</w:t>
      </w:r>
      <w:r w:rsidRPr="00F06711">
        <w:rPr>
          <w:rtl/>
        </w:rPr>
        <w:t xml:space="preserve">' </w:t>
      </w:r>
      <w:r w:rsidRPr="00F06711">
        <w:rPr>
          <w:rFonts w:hint="eastAsia"/>
          <w:rtl/>
        </w:rPr>
        <w:t>פלונית</w:t>
      </w:r>
      <w:r w:rsidRPr="00F06711">
        <w:rPr>
          <w:rFonts w:hint="cs"/>
          <w:rtl/>
        </w:rPr>
        <w:t>, פ"ד מח(3) 461, 476 (1993)):</w:t>
      </w:r>
    </w:p>
    <w:p w:rsidRPr="00F06711" w:rsidR="00D069C6" w:rsidP="00F06711" w:rsidRDefault="00D069C6" w14:paraId="7D50A165" w14:textId="1E397AD4">
      <w:pPr>
        <w:pStyle w:val="Hesber"/>
        <w:rPr>
          <w:rtl/>
        </w:rPr>
      </w:pPr>
      <w:r w:rsidRPr="00F06711">
        <w:rPr>
          <w:rtl/>
        </w:rPr>
        <w:t>"צעיר בגיל</w:t>
      </w:r>
      <w:r w:rsidRPr="00F06711">
        <w:t xml:space="preserve"> </w:t>
      </w:r>
      <w:r w:rsidRPr="00F06711">
        <w:rPr>
          <w:rtl/>
        </w:rPr>
        <w:t>צבא אינו יכול לפרנס עצמו (ואף אסור לו לעשות כן, אלא בהיתר), והמשכורת הצבאית אין בה כדי לספק את כל צרכיו. גם שלטונות הצבא מניחים כי החיילים סמוכים על שולחן הוריהם, לפחות לעניין המדור בעת חופשותיהם או לגבי אלה המשרתים "קרוב לבית" ואין להם מגורים במחנה.</w:t>
      </w:r>
      <w:r w:rsidRPr="00F06711" w:rsidR="005502AA">
        <w:rPr>
          <w:rFonts w:hint="cs"/>
          <w:rtl/>
        </w:rPr>
        <w:t xml:space="preserve"> </w:t>
      </w:r>
      <w:r w:rsidRPr="00F06711">
        <w:rPr>
          <w:rtl/>
        </w:rPr>
        <w:t xml:space="preserve">התוצאה היא </w:t>
      </w:r>
      <w:r w:rsidRPr="00F06711">
        <w:rPr>
          <w:rFonts w:hint="eastAsia"/>
          <w:rtl/>
        </w:rPr>
        <w:t>ש</w:t>
      </w:r>
      <w:r w:rsidRPr="00F06711">
        <w:rPr>
          <w:rtl/>
        </w:rPr>
        <w:t xml:space="preserve">חלק </w:t>
      </w:r>
      <w:r w:rsidRPr="00F06711">
        <w:rPr>
          <w:rFonts w:hint="eastAsia"/>
          <w:rtl/>
        </w:rPr>
        <w:t>מ</w:t>
      </w:r>
      <w:r w:rsidRPr="00F06711">
        <w:rPr>
          <w:rtl/>
        </w:rPr>
        <w:t xml:space="preserve">המעמסה נופל </w:t>
      </w:r>
      <w:r w:rsidRPr="00F06711">
        <w:t xml:space="preserve"> </w:t>
      </w:r>
      <w:r w:rsidRPr="00F06711">
        <w:rPr>
          <w:rtl/>
        </w:rPr>
        <w:t>על ההורה. אומר על כך פרופ</w:t>
      </w:r>
      <w:r w:rsidRPr="00F06711">
        <w:t>'</w:t>
      </w:r>
      <w:r w:rsidRPr="00F06711">
        <w:rPr>
          <w:rtl/>
        </w:rPr>
        <w:t xml:space="preserve"> רוזן-צבי, בספרו הנ"ל, בעמ' 163:</w:t>
      </w:r>
    </w:p>
    <w:p w:rsidRPr="00F06711" w:rsidR="00D069C6" w:rsidP="00F06711" w:rsidRDefault="00D069C6" w14:paraId="194C87EB" w14:textId="77777777">
      <w:pPr>
        <w:pStyle w:val="Hesber"/>
        <w:rPr>
          <w:rtl/>
        </w:rPr>
      </w:pPr>
      <w:r w:rsidRPr="00F06711">
        <w:rPr>
          <w:rtl/>
        </w:rPr>
        <w:t>'ילד שבגר ועושה את שירותו הצבאי אינו יוצא מביתו של ההורה-המשמורן בהגיעו לגיל הבגירות. גם בעת שירותו ה</w:t>
      </w:r>
      <w:r w:rsidRPr="00F06711">
        <w:rPr>
          <w:rFonts w:hint="eastAsia"/>
          <w:rtl/>
        </w:rPr>
        <w:t>צ</w:t>
      </w:r>
      <w:r w:rsidRPr="00F06711">
        <w:rPr>
          <w:rtl/>
        </w:rPr>
        <w:t>באי נושא ההורה-המשמורן בהוצאות הילד, המטילות עליו מעמסה כספית לא-מבוטלת".</w:t>
      </w:r>
    </w:p>
    <w:p w:rsidRPr="00F06711" w:rsidR="00D069C6" w:rsidP="00F06711" w:rsidRDefault="00D069C6" w14:paraId="28070F53" w14:textId="77777777">
      <w:pPr>
        <w:pStyle w:val="Hesber"/>
        <w:rPr>
          <w:rtl/>
        </w:rPr>
      </w:pPr>
      <w:r w:rsidRPr="00F06711">
        <w:rPr>
          <w:rFonts w:hint="eastAsia"/>
          <w:rtl/>
        </w:rPr>
        <w:t>בנוסף</w:t>
      </w:r>
      <w:r w:rsidRPr="00F06711">
        <w:rPr>
          <w:rtl/>
        </w:rPr>
        <w:t>, גם המדינה מודעת ל</w:t>
      </w:r>
      <w:r w:rsidRPr="00F06711">
        <w:rPr>
          <w:rFonts w:hint="eastAsia"/>
          <w:rtl/>
        </w:rPr>
        <w:t>כך</w:t>
      </w:r>
      <w:r w:rsidRPr="00F06711">
        <w:rPr>
          <w:rtl/>
        </w:rPr>
        <w:t xml:space="preserve"> </w:t>
      </w:r>
      <w:r w:rsidRPr="00F06711">
        <w:rPr>
          <w:rFonts w:hint="eastAsia"/>
          <w:rtl/>
        </w:rPr>
        <w:t>ש</w:t>
      </w:r>
      <w:r w:rsidRPr="00F06711">
        <w:rPr>
          <w:rtl/>
        </w:rPr>
        <w:t xml:space="preserve">חיילים </w:t>
      </w:r>
      <w:r w:rsidRPr="00F06711">
        <w:rPr>
          <w:rFonts w:hint="eastAsia"/>
          <w:rtl/>
        </w:rPr>
        <w:t>מסתייעים</w:t>
      </w:r>
      <w:r w:rsidRPr="00F06711">
        <w:rPr>
          <w:rtl/>
        </w:rPr>
        <w:t xml:space="preserve"> בהוריהם מבחינה כלכלית בתקופת שירותם הצבאי, ולכן חיילים בודדים, שנמצאים לבדם בארץ זכאים לתמיכה מוגדלת מהצבא. </w:t>
      </w:r>
    </w:p>
    <w:p w:rsidRPr="00F06711" w:rsidR="00D069C6" w:rsidP="00F06711" w:rsidRDefault="00D069C6" w14:paraId="31E3AB89" w14:textId="77777777">
      <w:pPr>
        <w:pStyle w:val="Hesber"/>
        <w:rPr>
          <w:rtl/>
        </w:rPr>
      </w:pPr>
      <w:r w:rsidRPr="00F06711">
        <w:rPr>
          <w:rFonts w:hint="eastAsia"/>
          <w:rtl/>
        </w:rPr>
        <w:t>כיוון</w:t>
      </w:r>
      <w:r w:rsidRPr="00F06711">
        <w:rPr>
          <w:rtl/>
        </w:rPr>
        <w:t xml:space="preserve"> שהמדינה ממילא מסתמכת על תמיכתם הכלכלית של ההורים בילדיהם בתקופת השירות הסדיר, אין זה סביר ואין זה הגיוני לשלול מאותם הורים את </w:t>
      </w:r>
      <w:r w:rsidRPr="00F06711">
        <w:rPr>
          <w:rFonts w:hint="eastAsia"/>
          <w:rtl/>
        </w:rPr>
        <w:t>קצבת</w:t>
      </w:r>
      <w:r w:rsidRPr="00F06711">
        <w:rPr>
          <w:rtl/>
        </w:rPr>
        <w:t xml:space="preserve"> </w:t>
      </w:r>
      <w:r w:rsidRPr="00F06711">
        <w:rPr>
          <w:rFonts w:hint="eastAsia"/>
          <w:rtl/>
        </w:rPr>
        <w:t>הילדים</w:t>
      </w:r>
      <w:r w:rsidRPr="00F06711">
        <w:rPr>
          <w:rtl/>
        </w:rPr>
        <w:t xml:space="preserve"> </w:t>
      </w:r>
      <w:r w:rsidRPr="00F06711">
        <w:rPr>
          <w:rFonts w:hint="eastAsia"/>
          <w:rtl/>
        </w:rPr>
        <w:t>ש</w:t>
      </w:r>
      <w:r w:rsidRPr="00F06711">
        <w:rPr>
          <w:rtl/>
        </w:rPr>
        <w:t xml:space="preserve">לה היו זכאים עד לאותו מועד. לפיכך, מוצע להאריך את תקופת הזכאות לקצבת ילדים עד לתום תקופת השירות הסדיר כהגדרתו </w:t>
      </w:r>
      <w:r w:rsidRPr="00F06711">
        <w:rPr>
          <w:rtl/>
        </w:rPr>
        <w:lastRenderedPageBreak/>
        <w:t xml:space="preserve">בחוק קליטת חיילים משוחררים, התשנ"ד–1994. </w:t>
      </w:r>
      <w:r w:rsidRPr="00F06711">
        <w:rPr>
          <w:rFonts w:hint="eastAsia"/>
          <w:rtl/>
        </w:rPr>
        <w:t>ההסדר</w:t>
      </w:r>
      <w:r w:rsidRPr="00F06711">
        <w:rPr>
          <w:rtl/>
        </w:rPr>
        <w:t xml:space="preserve"> </w:t>
      </w:r>
      <w:r w:rsidRPr="00F06711">
        <w:rPr>
          <w:rFonts w:hint="eastAsia"/>
          <w:rtl/>
        </w:rPr>
        <w:t>המוצע</w:t>
      </w:r>
      <w:r w:rsidRPr="00F06711">
        <w:rPr>
          <w:rtl/>
        </w:rPr>
        <w:t xml:space="preserve"> </w:t>
      </w:r>
      <w:r w:rsidRPr="00F06711">
        <w:rPr>
          <w:rFonts w:hint="eastAsia"/>
          <w:rtl/>
        </w:rPr>
        <w:t>בהצעת</w:t>
      </w:r>
      <w:r w:rsidRPr="00F06711">
        <w:rPr>
          <w:rtl/>
        </w:rPr>
        <w:t xml:space="preserve"> </w:t>
      </w:r>
      <w:r w:rsidRPr="00F06711">
        <w:rPr>
          <w:rFonts w:hint="eastAsia"/>
          <w:rtl/>
        </w:rPr>
        <w:t>החוק</w:t>
      </w:r>
      <w:r w:rsidRPr="00F06711">
        <w:rPr>
          <w:rtl/>
        </w:rPr>
        <w:t xml:space="preserve"> </w:t>
      </w:r>
      <w:r w:rsidRPr="00F06711">
        <w:rPr>
          <w:rFonts w:hint="eastAsia"/>
          <w:rtl/>
        </w:rPr>
        <w:t>מכיר</w:t>
      </w:r>
      <w:r w:rsidRPr="00F06711">
        <w:rPr>
          <w:rtl/>
        </w:rPr>
        <w:t xml:space="preserve"> </w:t>
      </w:r>
      <w:r w:rsidRPr="00F06711">
        <w:rPr>
          <w:rFonts w:hint="eastAsia"/>
          <w:rtl/>
        </w:rPr>
        <w:t>בכך</w:t>
      </w:r>
      <w:r w:rsidRPr="00F06711">
        <w:rPr>
          <w:rtl/>
        </w:rPr>
        <w:t xml:space="preserve"> </w:t>
      </w:r>
      <w:r w:rsidRPr="00F06711">
        <w:rPr>
          <w:rFonts w:hint="eastAsia"/>
          <w:rtl/>
        </w:rPr>
        <w:t>ש</w:t>
      </w:r>
      <w:r w:rsidRPr="00F06711">
        <w:rPr>
          <w:rtl/>
        </w:rPr>
        <w:t xml:space="preserve">השירות </w:t>
      </w:r>
      <w:r w:rsidRPr="00F06711">
        <w:rPr>
          <w:rFonts w:hint="eastAsia"/>
          <w:rtl/>
        </w:rPr>
        <w:t>הצבאי</w:t>
      </w:r>
      <w:r w:rsidRPr="00F06711">
        <w:rPr>
          <w:rtl/>
        </w:rPr>
        <w:t xml:space="preserve"> והשירות האזרחי והלאומי הם ערכים חשובים שיש ל</w:t>
      </w:r>
      <w:r w:rsidRPr="00F06711">
        <w:rPr>
          <w:rFonts w:hint="eastAsia"/>
          <w:rtl/>
        </w:rPr>
        <w:t>עודדם</w:t>
      </w:r>
      <w:r w:rsidRPr="00F06711">
        <w:rPr>
          <w:rtl/>
        </w:rPr>
        <w:t xml:space="preserve"> </w:t>
      </w:r>
      <w:r w:rsidRPr="00F06711">
        <w:rPr>
          <w:rFonts w:hint="eastAsia"/>
          <w:rtl/>
        </w:rPr>
        <w:t>ומקל</w:t>
      </w:r>
      <w:r w:rsidRPr="00F06711">
        <w:rPr>
          <w:rtl/>
        </w:rPr>
        <w:t xml:space="preserve"> </w:t>
      </w:r>
      <w:r w:rsidRPr="00F06711">
        <w:rPr>
          <w:rFonts w:hint="eastAsia"/>
          <w:rtl/>
        </w:rPr>
        <w:t>את</w:t>
      </w:r>
      <w:r w:rsidRPr="00F06711">
        <w:rPr>
          <w:rtl/>
        </w:rPr>
        <w:t xml:space="preserve"> העול הכלכלי </w:t>
      </w:r>
      <w:r w:rsidRPr="00F06711">
        <w:rPr>
          <w:rFonts w:hint="eastAsia"/>
          <w:rtl/>
        </w:rPr>
        <w:t>שבו</w:t>
      </w:r>
      <w:r w:rsidRPr="00F06711">
        <w:rPr>
          <w:rtl/>
        </w:rPr>
        <w:t xml:space="preserve"> </w:t>
      </w:r>
      <w:r w:rsidRPr="00F06711">
        <w:rPr>
          <w:rFonts w:hint="eastAsia"/>
          <w:rtl/>
        </w:rPr>
        <w:t>נושאים</w:t>
      </w:r>
      <w:r w:rsidRPr="00F06711">
        <w:rPr>
          <w:rtl/>
        </w:rPr>
        <w:t xml:space="preserve"> ההורים בתקופה זו. </w:t>
      </w:r>
    </w:p>
    <w:p w:rsidRPr="00F06711" w:rsidR="00D069C6" w:rsidP="00F06711" w:rsidRDefault="00D069C6" w14:paraId="06386C15" w14:textId="77777777">
      <w:pPr>
        <w:pStyle w:val="Hesber"/>
        <w:rPr>
          <w:rtl/>
        </w:rPr>
      </w:pPr>
      <w:r w:rsidRPr="00F06711">
        <w:rPr>
          <w:rFonts w:hint="eastAsia"/>
          <w:rtl/>
        </w:rPr>
        <w:t>הצעות</w:t>
      </w:r>
      <w:r w:rsidRPr="00F06711">
        <w:rPr>
          <w:rtl/>
        </w:rPr>
        <w:t xml:space="preserve"> </w:t>
      </w:r>
      <w:r w:rsidRPr="00F06711">
        <w:rPr>
          <w:rFonts w:hint="eastAsia"/>
          <w:rtl/>
        </w:rPr>
        <w:t>חוק</w:t>
      </w:r>
      <w:r w:rsidRPr="00F06711">
        <w:rPr>
          <w:rtl/>
        </w:rPr>
        <w:t xml:space="preserve"> </w:t>
      </w:r>
      <w:r w:rsidRPr="00F06711">
        <w:rPr>
          <w:rFonts w:hint="eastAsia"/>
          <w:rtl/>
        </w:rPr>
        <w:t>דומות</w:t>
      </w:r>
      <w:r w:rsidRPr="00F06711">
        <w:rPr>
          <w:rtl/>
        </w:rPr>
        <w:t xml:space="preserve"> </w:t>
      </w:r>
      <w:r w:rsidRPr="00F06711">
        <w:rPr>
          <w:rFonts w:hint="eastAsia"/>
          <w:rtl/>
        </w:rPr>
        <w:t>בעיקרן</w:t>
      </w:r>
      <w:r w:rsidRPr="00F06711">
        <w:rPr>
          <w:rtl/>
        </w:rPr>
        <w:t xml:space="preserve"> </w:t>
      </w:r>
      <w:r w:rsidRPr="00F06711">
        <w:rPr>
          <w:rFonts w:hint="eastAsia"/>
          <w:rtl/>
        </w:rPr>
        <w:t>הונחו</w:t>
      </w:r>
      <w:r w:rsidRPr="00F06711">
        <w:rPr>
          <w:rtl/>
        </w:rPr>
        <w:t xml:space="preserve"> </w:t>
      </w:r>
      <w:r w:rsidRPr="00F06711">
        <w:rPr>
          <w:rFonts w:hint="eastAsia"/>
          <w:rtl/>
        </w:rPr>
        <w:t>על</w:t>
      </w:r>
      <w:r w:rsidRPr="00F06711">
        <w:rPr>
          <w:rtl/>
        </w:rPr>
        <w:t xml:space="preserve"> </w:t>
      </w:r>
      <w:r w:rsidRPr="00F06711">
        <w:rPr>
          <w:rFonts w:hint="eastAsia"/>
          <w:rtl/>
        </w:rPr>
        <w:t>שולחן</w:t>
      </w:r>
      <w:r w:rsidRPr="00F06711">
        <w:rPr>
          <w:rtl/>
        </w:rPr>
        <w:t xml:space="preserve"> </w:t>
      </w:r>
      <w:r w:rsidRPr="00F06711">
        <w:rPr>
          <w:rFonts w:hint="eastAsia"/>
          <w:rtl/>
        </w:rPr>
        <w:t>הכנסת</w:t>
      </w:r>
      <w:r w:rsidRPr="00F06711">
        <w:rPr>
          <w:rtl/>
        </w:rPr>
        <w:t xml:space="preserve"> </w:t>
      </w:r>
      <w:r w:rsidRPr="00F06711">
        <w:rPr>
          <w:rFonts w:hint="eastAsia"/>
          <w:rtl/>
        </w:rPr>
        <w:t>השמונה</w:t>
      </w:r>
      <w:r w:rsidRPr="00F06711">
        <w:rPr>
          <w:rtl/>
        </w:rPr>
        <w:t xml:space="preserve">-עשרה </w:t>
      </w:r>
      <w:r w:rsidRPr="00F06711">
        <w:rPr>
          <w:rFonts w:hint="eastAsia"/>
          <w:rtl/>
        </w:rPr>
        <w:t>על</w:t>
      </w:r>
      <w:r w:rsidRPr="00F06711">
        <w:rPr>
          <w:rtl/>
        </w:rPr>
        <w:t xml:space="preserve"> </w:t>
      </w:r>
      <w:r w:rsidRPr="00F06711">
        <w:rPr>
          <w:rFonts w:hint="eastAsia"/>
          <w:rtl/>
        </w:rPr>
        <w:t>ידי</w:t>
      </w:r>
      <w:r w:rsidRPr="00F06711">
        <w:rPr>
          <w:rtl/>
        </w:rPr>
        <w:t xml:space="preserve"> </w:t>
      </w:r>
      <w:r w:rsidRPr="00F06711">
        <w:rPr>
          <w:rFonts w:hint="eastAsia"/>
          <w:rtl/>
        </w:rPr>
        <w:t>חבר</w:t>
      </w:r>
      <w:r w:rsidRPr="00F06711">
        <w:rPr>
          <w:rtl/>
        </w:rPr>
        <w:t xml:space="preserve"> </w:t>
      </w:r>
      <w:r w:rsidRPr="00F06711">
        <w:rPr>
          <w:rFonts w:hint="eastAsia"/>
          <w:rtl/>
        </w:rPr>
        <w:t>הכנסת</w:t>
      </w:r>
      <w:r w:rsidRPr="00F06711">
        <w:rPr>
          <w:rtl/>
        </w:rPr>
        <w:t xml:space="preserve"> </w:t>
      </w:r>
      <w:r w:rsidRPr="00F06711">
        <w:rPr>
          <w:rFonts w:hint="eastAsia"/>
          <w:rtl/>
        </w:rPr>
        <w:t>אריה</w:t>
      </w:r>
      <w:r w:rsidRPr="00F06711">
        <w:rPr>
          <w:rtl/>
        </w:rPr>
        <w:t xml:space="preserve"> </w:t>
      </w:r>
      <w:r w:rsidRPr="00F06711">
        <w:rPr>
          <w:rFonts w:hint="eastAsia"/>
          <w:rtl/>
        </w:rPr>
        <w:t>אלדד</w:t>
      </w:r>
      <w:r w:rsidRPr="00F06711">
        <w:rPr>
          <w:rtl/>
        </w:rPr>
        <w:t xml:space="preserve"> </w:t>
      </w:r>
      <w:r w:rsidRPr="00F06711">
        <w:rPr>
          <w:rFonts w:hint="eastAsia"/>
          <w:rtl/>
        </w:rPr>
        <w:t>וקבוצת</w:t>
      </w:r>
      <w:r w:rsidRPr="00F06711">
        <w:rPr>
          <w:rtl/>
        </w:rPr>
        <w:t xml:space="preserve"> </w:t>
      </w:r>
      <w:r w:rsidRPr="00F06711">
        <w:rPr>
          <w:rFonts w:hint="eastAsia"/>
          <w:rtl/>
        </w:rPr>
        <w:t>חברי</w:t>
      </w:r>
      <w:r w:rsidRPr="00F06711">
        <w:rPr>
          <w:rtl/>
        </w:rPr>
        <w:t xml:space="preserve"> </w:t>
      </w:r>
      <w:r w:rsidRPr="00F06711">
        <w:rPr>
          <w:rFonts w:hint="eastAsia"/>
          <w:rtl/>
        </w:rPr>
        <w:t>הכנסת</w:t>
      </w:r>
      <w:r w:rsidRPr="00F06711">
        <w:rPr>
          <w:rtl/>
        </w:rPr>
        <w:t xml:space="preserve"> (פ/2642/18) </w:t>
      </w:r>
      <w:r w:rsidRPr="00F06711">
        <w:rPr>
          <w:rFonts w:hint="eastAsia"/>
          <w:rtl/>
        </w:rPr>
        <w:t>ועל</w:t>
      </w:r>
      <w:r w:rsidRPr="00F06711">
        <w:rPr>
          <w:rtl/>
        </w:rPr>
        <w:t xml:space="preserve"> </w:t>
      </w:r>
      <w:r w:rsidRPr="00F06711">
        <w:rPr>
          <w:rFonts w:hint="eastAsia"/>
          <w:rtl/>
        </w:rPr>
        <w:t>שולחן</w:t>
      </w:r>
      <w:r w:rsidRPr="00F06711">
        <w:rPr>
          <w:rtl/>
        </w:rPr>
        <w:t xml:space="preserve"> </w:t>
      </w:r>
      <w:r w:rsidRPr="00F06711">
        <w:rPr>
          <w:rFonts w:hint="eastAsia"/>
          <w:rtl/>
        </w:rPr>
        <w:t>הכנסת</w:t>
      </w:r>
      <w:r w:rsidRPr="00F06711">
        <w:rPr>
          <w:rtl/>
        </w:rPr>
        <w:t xml:space="preserve"> </w:t>
      </w:r>
      <w:r w:rsidRPr="00F06711">
        <w:rPr>
          <w:rFonts w:hint="eastAsia"/>
          <w:rtl/>
        </w:rPr>
        <w:t>התשע</w:t>
      </w:r>
      <w:r w:rsidRPr="00F06711">
        <w:rPr>
          <w:rtl/>
        </w:rPr>
        <w:t xml:space="preserve">-עשרה </w:t>
      </w:r>
      <w:r w:rsidRPr="00F06711">
        <w:rPr>
          <w:rFonts w:hint="eastAsia"/>
          <w:rtl/>
        </w:rPr>
        <w:t>על</w:t>
      </w:r>
      <w:r w:rsidRPr="00F06711">
        <w:rPr>
          <w:rtl/>
        </w:rPr>
        <w:t xml:space="preserve"> </w:t>
      </w:r>
      <w:r w:rsidRPr="00F06711">
        <w:rPr>
          <w:rFonts w:hint="eastAsia"/>
          <w:rtl/>
        </w:rPr>
        <w:t>ידי</w:t>
      </w:r>
      <w:r w:rsidRPr="00F06711">
        <w:rPr>
          <w:rtl/>
        </w:rPr>
        <w:t xml:space="preserve"> </w:t>
      </w:r>
      <w:r w:rsidRPr="00F06711">
        <w:rPr>
          <w:rFonts w:hint="eastAsia"/>
          <w:rtl/>
        </w:rPr>
        <w:t>חבר</w:t>
      </w:r>
      <w:r w:rsidRPr="00F06711">
        <w:rPr>
          <w:rtl/>
        </w:rPr>
        <w:t xml:space="preserve"> </w:t>
      </w:r>
      <w:r w:rsidRPr="00F06711">
        <w:rPr>
          <w:rFonts w:hint="eastAsia"/>
          <w:rtl/>
        </w:rPr>
        <w:t>הכנסת</w:t>
      </w:r>
      <w:r w:rsidRPr="00F06711">
        <w:rPr>
          <w:rtl/>
        </w:rPr>
        <w:t xml:space="preserve"> </w:t>
      </w:r>
      <w:r w:rsidRPr="00F06711">
        <w:rPr>
          <w:rFonts w:hint="eastAsia"/>
          <w:rtl/>
        </w:rPr>
        <w:t>שמעון</w:t>
      </w:r>
      <w:r w:rsidRPr="00F06711">
        <w:rPr>
          <w:rtl/>
        </w:rPr>
        <w:t xml:space="preserve"> </w:t>
      </w:r>
      <w:r w:rsidRPr="00F06711">
        <w:rPr>
          <w:rFonts w:hint="eastAsia"/>
          <w:rtl/>
        </w:rPr>
        <w:t>אוחיון</w:t>
      </w:r>
      <w:r w:rsidRPr="00F06711">
        <w:rPr>
          <w:rtl/>
        </w:rPr>
        <w:t xml:space="preserve"> </w:t>
      </w:r>
      <w:r w:rsidRPr="00F06711">
        <w:rPr>
          <w:rFonts w:hint="eastAsia"/>
          <w:rtl/>
        </w:rPr>
        <w:t>וקבוצת</w:t>
      </w:r>
      <w:r w:rsidRPr="00F06711">
        <w:rPr>
          <w:rtl/>
        </w:rPr>
        <w:t xml:space="preserve"> </w:t>
      </w:r>
      <w:r w:rsidRPr="00F06711">
        <w:rPr>
          <w:rFonts w:hint="eastAsia"/>
          <w:rtl/>
        </w:rPr>
        <w:t>חברי</w:t>
      </w:r>
      <w:r w:rsidRPr="00F06711">
        <w:rPr>
          <w:rtl/>
        </w:rPr>
        <w:t xml:space="preserve"> </w:t>
      </w:r>
      <w:r w:rsidRPr="00F06711">
        <w:rPr>
          <w:rFonts w:hint="eastAsia"/>
          <w:rtl/>
        </w:rPr>
        <w:t>הכנסת</w:t>
      </w:r>
      <w:r w:rsidRPr="00F06711">
        <w:rPr>
          <w:rtl/>
        </w:rPr>
        <w:t xml:space="preserve"> (פ/1955/19).</w:t>
      </w:r>
    </w:p>
    <w:p w:rsidR="00391367" w:rsidP="00F06711" w:rsidRDefault="00391367" w14:paraId="665FE406" w14:textId="39A5CF75">
      <w:pPr>
        <w:pStyle w:val="Hesber"/>
        <w:rPr>
          <w:rFonts w:hint="cs"/>
          <w:rtl/>
        </w:rPr>
      </w:pPr>
      <w:r w:rsidRPr="00F06711">
        <w:rPr>
          <w:rFonts w:hint="eastAsia"/>
          <w:rtl/>
        </w:rPr>
        <w:t>הצעת</w:t>
      </w:r>
      <w:r w:rsidRPr="00F06711">
        <w:rPr>
          <w:rtl/>
        </w:rPr>
        <w:t xml:space="preserve"> </w:t>
      </w:r>
      <w:r w:rsidRPr="00F06711">
        <w:rPr>
          <w:rFonts w:hint="eastAsia"/>
          <w:rtl/>
        </w:rPr>
        <w:t>חוק</w:t>
      </w:r>
      <w:r w:rsidRPr="00F06711">
        <w:rPr>
          <w:rtl/>
        </w:rPr>
        <w:t xml:space="preserve"> </w:t>
      </w:r>
      <w:r w:rsidRPr="00F06711">
        <w:rPr>
          <w:rFonts w:hint="eastAsia"/>
          <w:rtl/>
        </w:rPr>
        <w:t>זהה</w:t>
      </w:r>
      <w:r w:rsidRPr="00F06711">
        <w:rPr>
          <w:rtl/>
        </w:rPr>
        <w:t xml:space="preserve"> </w:t>
      </w:r>
      <w:r w:rsidRPr="00F06711">
        <w:rPr>
          <w:rFonts w:hint="eastAsia"/>
          <w:rtl/>
        </w:rPr>
        <w:t>הונחה</w:t>
      </w:r>
      <w:r w:rsidRPr="00F06711">
        <w:rPr>
          <w:rtl/>
        </w:rPr>
        <w:t xml:space="preserve"> </w:t>
      </w:r>
      <w:r w:rsidRPr="00F06711">
        <w:rPr>
          <w:rFonts w:hint="eastAsia"/>
          <w:rtl/>
        </w:rPr>
        <w:t>על</w:t>
      </w:r>
      <w:r w:rsidRPr="00F06711">
        <w:rPr>
          <w:rtl/>
        </w:rPr>
        <w:t xml:space="preserve"> </w:t>
      </w:r>
      <w:r w:rsidRPr="00F06711">
        <w:rPr>
          <w:rFonts w:hint="eastAsia"/>
          <w:rtl/>
        </w:rPr>
        <w:t>שולחן</w:t>
      </w:r>
      <w:r w:rsidRPr="00F06711">
        <w:rPr>
          <w:rtl/>
        </w:rPr>
        <w:t xml:space="preserve"> </w:t>
      </w:r>
      <w:r w:rsidRPr="00F06711">
        <w:rPr>
          <w:rFonts w:hint="eastAsia"/>
          <w:rtl/>
        </w:rPr>
        <w:t>הכנסת</w:t>
      </w:r>
      <w:r w:rsidRPr="00F06711">
        <w:rPr>
          <w:rtl/>
        </w:rPr>
        <w:t xml:space="preserve"> </w:t>
      </w:r>
      <w:r w:rsidRPr="00F06711">
        <w:rPr>
          <w:rFonts w:hint="eastAsia"/>
          <w:rtl/>
        </w:rPr>
        <w:t>העשרים</w:t>
      </w:r>
      <w:r w:rsidRPr="00F06711">
        <w:rPr>
          <w:rtl/>
        </w:rPr>
        <w:t xml:space="preserve"> </w:t>
      </w:r>
      <w:r w:rsidRPr="00F06711">
        <w:rPr>
          <w:rFonts w:hint="eastAsia"/>
          <w:rtl/>
        </w:rPr>
        <w:t>על</w:t>
      </w:r>
      <w:r w:rsidRPr="00F06711">
        <w:rPr>
          <w:rtl/>
        </w:rPr>
        <w:t xml:space="preserve"> </w:t>
      </w:r>
      <w:r w:rsidRPr="00F06711">
        <w:rPr>
          <w:rFonts w:hint="eastAsia"/>
          <w:rtl/>
        </w:rPr>
        <w:t>ידי</w:t>
      </w:r>
      <w:r w:rsidRPr="00F06711">
        <w:rPr>
          <w:rtl/>
        </w:rPr>
        <w:t xml:space="preserve"> </w:t>
      </w:r>
      <w:r w:rsidRPr="00F06711">
        <w:rPr>
          <w:rFonts w:hint="eastAsia"/>
          <w:rtl/>
        </w:rPr>
        <w:t>חברת</w:t>
      </w:r>
      <w:r w:rsidRPr="00F06711">
        <w:rPr>
          <w:rtl/>
        </w:rPr>
        <w:t xml:space="preserve"> </w:t>
      </w:r>
      <w:r w:rsidRPr="00F06711">
        <w:rPr>
          <w:rFonts w:hint="eastAsia"/>
          <w:rtl/>
        </w:rPr>
        <w:t>הכנסת</w:t>
      </w:r>
      <w:r w:rsidRPr="00F06711">
        <w:rPr>
          <w:rtl/>
        </w:rPr>
        <w:t xml:space="preserve"> </w:t>
      </w:r>
      <w:r w:rsidRPr="00F06711">
        <w:rPr>
          <w:rFonts w:hint="eastAsia"/>
          <w:rtl/>
        </w:rPr>
        <w:t>ענת</w:t>
      </w:r>
      <w:r w:rsidRPr="00F06711">
        <w:rPr>
          <w:rtl/>
        </w:rPr>
        <w:t xml:space="preserve"> </w:t>
      </w:r>
      <w:r w:rsidRPr="00F06711">
        <w:rPr>
          <w:rFonts w:hint="eastAsia"/>
          <w:rtl/>
        </w:rPr>
        <w:t>ברקו</w:t>
      </w:r>
      <w:r w:rsidRPr="00F06711">
        <w:rPr>
          <w:rtl/>
        </w:rPr>
        <w:t xml:space="preserve"> </w:t>
      </w:r>
      <w:r w:rsidRPr="00F06711">
        <w:rPr>
          <w:rFonts w:hint="eastAsia"/>
          <w:rtl/>
        </w:rPr>
        <w:t>וקבוצת</w:t>
      </w:r>
      <w:r w:rsidRPr="00F06711">
        <w:rPr>
          <w:rtl/>
        </w:rPr>
        <w:t xml:space="preserve"> </w:t>
      </w:r>
      <w:r w:rsidRPr="00F06711">
        <w:rPr>
          <w:rFonts w:hint="eastAsia"/>
          <w:rtl/>
        </w:rPr>
        <w:t>חברי</w:t>
      </w:r>
      <w:r w:rsidRPr="00F06711">
        <w:rPr>
          <w:rtl/>
        </w:rPr>
        <w:t xml:space="preserve"> </w:t>
      </w:r>
      <w:r w:rsidRPr="00F06711">
        <w:rPr>
          <w:rFonts w:hint="eastAsia"/>
          <w:rtl/>
        </w:rPr>
        <w:t>הכנסת</w:t>
      </w:r>
      <w:r w:rsidRPr="00F06711">
        <w:rPr>
          <w:rtl/>
        </w:rPr>
        <w:t xml:space="preserve"> (פ/1574/20)</w:t>
      </w:r>
      <w:r w:rsidR="007E3ADA">
        <w:rPr>
          <w:rFonts w:hint="cs"/>
          <w:rtl/>
        </w:rPr>
        <w:t>.</w:t>
      </w:r>
    </w:p>
    <w:p w:rsidR="007E3ADA" w:rsidP="00F06711" w:rsidRDefault="007E3ADA" w14:paraId="12FE1CDC" w14:textId="77777777">
      <w:pPr>
        <w:pStyle w:val="Hesber"/>
        <w:rPr>
          <w:rtl/>
        </w:rPr>
      </w:pPr>
    </w:p>
    <w:p w:rsidR="007E3ADA" w:rsidP="00F06711" w:rsidRDefault="007E3ADA" w14:paraId="1303218D" w14:textId="77777777">
      <w:pPr>
        <w:pStyle w:val="Hesber"/>
        <w:rPr>
          <w:rtl/>
        </w:rPr>
      </w:pPr>
      <w:bookmarkStart w:name="_GoBack" w:id="8"/>
      <w:bookmarkEnd w:id="8"/>
    </w:p>
    <w:p w:rsidRPr="00D73212" w:rsidR="007E3ADA" w:rsidP="007E3ADA" w:rsidRDefault="007E3ADA" w14:paraId="457140B4" w14:textId="77777777">
      <w:pPr>
        <w:pStyle w:val="Hesber"/>
        <w:rPr>
          <w:color w:val="auto"/>
          <w:rtl/>
          <w:lang w:eastAsia="en-US"/>
        </w:rPr>
      </w:pPr>
      <w:r w:rsidRPr="00D73212">
        <w:rPr>
          <w:color w:val="auto"/>
          <w:rtl/>
          <w:lang w:eastAsia="en-US"/>
        </w:rPr>
        <w:t>---------------------------------</w:t>
      </w:r>
    </w:p>
    <w:p w:rsidRPr="00D73212" w:rsidR="007E3ADA" w:rsidP="007E3ADA" w:rsidRDefault="007E3ADA" w14:paraId="24CC22D1" w14:textId="77777777">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rsidRPr="00D73212" w:rsidR="007E3ADA" w:rsidP="007E3ADA" w:rsidRDefault="007E3ADA" w14:paraId="46607535" w14:textId="77777777">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rsidRPr="00317312" w:rsidR="007E3ADA" w:rsidP="007E3ADA" w:rsidRDefault="007E3ADA" w14:paraId="7D7D3E74" w14:textId="77777777">
      <w:pPr>
        <w:pStyle w:val="Hesber"/>
      </w:pPr>
      <w:r>
        <w:rPr>
          <w:rFonts w:hint="cs"/>
          <w:color w:val="auto"/>
          <w:rtl/>
          <w:lang w:eastAsia="en-US"/>
        </w:rPr>
        <w:t>ט"ו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 xml:space="preserve">19  </w:t>
      </w:r>
    </w:p>
    <w:p w:rsidRPr="007E3ADA" w:rsidR="007E3ADA" w:rsidP="00F06711" w:rsidRDefault="007E3ADA" w14:paraId="7A2AEB19" w14:textId="77777777">
      <w:pPr>
        <w:pStyle w:val="Hesber"/>
        <w:rPr>
          <w:rtl/>
        </w:rPr>
      </w:pPr>
    </w:p>
    <w:p w:rsidRPr="00F06711" w:rsidR="007E3ADA" w:rsidP="00F06711" w:rsidRDefault="007E3ADA" w14:paraId="2CC169A1" w14:textId="77777777">
      <w:pPr>
        <w:pStyle w:val="Hesber"/>
        <w:rPr>
          <w:rtl/>
        </w:rPr>
      </w:pPr>
    </w:p>
    <w:p w:rsidR="00E13C27" w:rsidP="00E13C27" w:rsidRDefault="00E13C27" w14:paraId="7F6961CB" w14:textId="7777777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E3ADA">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72FE773" w14:textId="77777777" w:rsidR="00D069C6" w:rsidRDefault="00D069C6" w:rsidP="00D069C6">
      <w:pPr>
        <w:pStyle w:val="a4"/>
        <w:rPr>
          <w:rtl/>
        </w:rPr>
      </w:pPr>
      <w:r>
        <w:rPr>
          <w:rStyle w:val="a6"/>
        </w:rPr>
        <w:footnoteRef/>
      </w:r>
      <w:r>
        <w:rPr>
          <w:rtl/>
        </w:rPr>
        <w:t xml:space="preserve"> </w:t>
      </w:r>
      <w:r>
        <w:rPr>
          <w:sz w:val="20"/>
          <w:rtl/>
        </w:rPr>
        <w:t>ס"ח התשנ"ה, עמ' 210.</w:t>
      </w:r>
    </w:p>
  </w:footnote>
  <w:footnote w:id="3">
    <w:p w14:paraId="03CF1321" w14:textId="77777777" w:rsidR="00D069C6" w:rsidRDefault="00D069C6" w:rsidP="00D069C6">
      <w:pPr>
        <w:pStyle w:val="a4"/>
      </w:pPr>
      <w:r>
        <w:rPr>
          <w:rStyle w:val="a6"/>
        </w:rPr>
        <w:footnoteRef/>
      </w:r>
      <w:r>
        <w:rPr>
          <w:sz w:val="20"/>
          <w:rtl/>
        </w:rPr>
        <w:t xml:space="preserve"> ס"ח התשנ"ד, עמ'  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1367"/>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02AA"/>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676F7"/>
    <w:rsid w:val="0078664F"/>
    <w:rsid w:val="007A27CE"/>
    <w:rsid w:val="007C3FA6"/>
    <w:rsid w:val="007D585A"/>
    <w:rsid w:val="007D5A12"/>
    <w:rsid w:val="007E3ADA"/>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D163D"/>
    <w:rsid w:val="00BF148D"/>
    <w:rsid w:val="00C23B1A"/>
    <w:rsid w:val="00C310EB"/>
    <w:rsid w:val="00C9176A"/>
    <w:rsid w:val="00CF1AA2"/>
    <w:rsid w:val="00D069C6"/>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06711"/>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E459808-F002-4C6E-9C82-2655ABE2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D069C6"/>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462E1ED-20F6-4EEF-800D-9F0079ED9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A81DA1-2C52-4985-9EBC-0E66D167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431</Words>
  <Characters>2157</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2019-05-19T07:46:00Z</cp:lastPrinted>
  <dcterms:created xsi:type="dcterms:W3CDTF">2015-04-20T09:58:00Z</dcterms:created>
  <dcterms:modified xsi:type="dcterms:W3CDTF">2019-05-19T07:46:00Z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2078687</vt:r8>
  </property>
</Properties>
</file>