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2078685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יואב סגלוביץ'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פ/30/21</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68C6B48A" w:rsidR="00E13C27" w:rsidRPr="00F67051" w:rsidRDefault="00A443CF" w:rsidP="00C14CA8">
      <w:pPr>
        <w:pStyle w:val="HeadHatzaotHok"/>
        <w:rPr>
          <w:rtl/>
        </w:rPr>
      </w:pPr>
      <w:bookmarkStart w:id="7" w:name="LGS_Subject"/>
      <w:r>
        <w:rPr>
          <w:rFonts w:hint="cs"/>
          <w:rtl/>
        </w:rPr>
        <w:t xml:space="preserve">הצעת חוק הגנה על עובדים (חשיפת עבירות ופגיעה בטוהר המידות או במינהל התקין) (תיקון </w:t>
      </w:r>
      <w:r w:rsidR="00C14CA8">
        <w:rPr>
          <w:rFonts w:hint="eastAsia"/>
          <w:rtl/>
        </w:rPr>
        <w:t>–</w:t>
      </w:r>
      <w:r>
        <w:rPr>
          <w:rFonts w:hint="cs"/>
          <w:rtl/>
        </w:rPr>
        <w:t xml:space="preserve"> הארכת תקופת ההתיישנות), התשע"ט</w:t>
      </w:r>
      <w:r w:rsidR="00C14CA8">
        <w:rPr>
          <w:rFonts w:hint="eastAsia"/>
          <w:rtl/>
        </w:rPr>
        <w:t>–</w:t>
      </w:r>
      <w:r>
        <w:rPr>
          <w:rFonts w:hint="cs"/>
          <w:rtl/>
        </w:rPr>
        <w:t>2019</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9C4F8E" w14:paraId="035EEF3D" w14:textId="77777777" w:rsidTr="002C3041">
        <w:trPr>
          <w:cantSplit/>
          <w:trHeight w:val="60"/>
        </w:trPr>
        <w:tc>
          <w:tcPr>
            <w:tcW w:w="1871" w:type="dxa"/>
          </w:tcPr>
          <w:p w14:paraId="3863FF98" w14:textId="0CE76375" w:rsidR="009C4F8E" w:rsidRDefault="009C4F8E" w:rsidP="009C4F8E">
            <w:pPr>
              <w:pStyle w:val="TableSideHeading"/>
              <w:keepLines w:val="0"/>
            </w:pPr>
            <w:r>
              <w:rPr>
                <w:rtl/>
              </w:rPr>
              <w:t>תיקון סעיף</w:t>
            </w:r>
            <w:r>
              <w:rPr>
                <w:rFonts w:hint="cs"/>
                <w:rtl/>
              </w:rPr>
              <w:t xml:space="preserve"> 5 </w:t>
            </w:r>
          </w:p>
        </w:tc>
        <w:tc>
          <w:tcPr>
            <w:tcW w:w="624" w:type="dxa"/>
          </w:tcPr>
          <w:p w14:paraId="6F513EF6" w14:textId="23DF4291" w:rsidR="009C4F8E" w:rsidRDefault="009C4F8E" w:rsidP="009C4F8E">
            <w:pPr>
              <w:pStyle w:val="TableText"/>
              <w:keepLines w:val="0"/>
            </w:pPr>
            <w:r w:rsidRPr="00661D16">
              <w:rPr>
                <w:rtl/>
              </w:rPr>
              <w:t>1.</w:t>
            </w:r>
          </w:p>
        </w:tc>
        <w:tc>
          <w:tcPr>
            <w:tcW w:w="7146" w:type="dxa"/>
          </w:tcPr>
          <w:p w14:paraId="1AE94DEB" w14:textId="78844B9D" w:rsidR="009C4F8E" w:rsidRPr="009C4F8E" w:rsidRDefault="009C4F8E" w:rsidP="009C4F8E">
            <w:pPr>
              <w:pStyle w:val="TableBlock"/>
            </w:pPr>
            <w:r w:rsidRPr="009C4F8E">
              <w:rPr>
                <w:rtl/>
              </w:rPr>
              <w:t xml:space="preserve">בחוק </w:t>
            </w:r>
            <w:r w:rsidRPr="009C4F8E">
              <w:rPr>
                <w:rFonts w:hint="cs"/>
                <w:rtl/>
              </w:rPr>
              <w:t>הגנה על עובדים (חשיפת עבירות ופגיעה בטוהר המידות או במינהל התקין), התשנ"ז</w:t>
            </w:r>
            <w:r w:rsidRPr="009C4F8E">
              <w:rPr>
                <w:rFonts w:hint="eastAsia"/>
                <w:rtl/>
              </w:rPr>
              <w:t>–</w:t>
            </w:r>
            <w:r w:rsidRPr="009C4F8E">
              <w:rPr>
                <w:rFonts w:hint="cs"/>
                <w:rtl/>
              </w:rPr>
              <w:t>1997</w:t>
            </w:r>
            <w:r w:rsidRPr="009C4F8E">
              <w:rPr>
                <w:vertAlign w:val="superscript"/>
                <w:rtl/>
              </w:rPr>
              <w:footnoteReference w:id="2"/>
            </w:r>
            <w:r w:rsidRPr="009C4F8E">
              <w:rPr>
                <w:rtl/>
              </w:rPr>
              <w:t xml:space="preserve">, </w:t>
            </w:r>
            <w:r w:rsidRPr="009C4F8E">
              <w:rPr>
                <w:rFonts w:hint="cs"/>
                <w:rtl/>
              </w:rPr>
              <w:t>ב</w:t>
            </w:r>
            <w:r w:rsidRPr="009C4F8E">
              <w:rPr>
                <w:rtl/>
              </w:rPr>
              <w:t xml:space="preserve">סעיף </w:t>
            </w:r>
            <w:r w:rsidRPr="009C4F8E">
              <w:rPr>
                <w:rFonts w:hint="cs"/>
                <w:rtl/>
              </w:rPr>
              <w:t>5</w:t>
            </w:r>
            <w:r w:rsidRPr="009C4F8E">
              <w:rPr>
                <w:rtl/>
              </w:rPr>
              <w:t xml:space="preserve">, </w:t>
            </w:r>
            <w:r w:rsidRPr="009C4F8E">
              <w:rPr>
                <w:rFonts w:hint="cs"/>
                <w:rtl/>
              </w:rPr>
              <w:t>במקום "שנים עשר חודשים" יבוא "שבע שנים".</w:t>
            </w:r>
            <w:r w:rsidRPr="009C4F8E">
              <w:rPr>
                <w:rtl/>
              </w:rPr>
              <w:t xml:space="preserve">                                                     </w:t>
            </w:r>
          </w:p>
        </w:tc>
      </w:tr>
      <w:tr w:rsidR="009C4F8E" w14:paraId="3D9B61D1" w14:textId="77777777" w:rsidTr="002C3041">
        <w:trPr>
          <w:cantSplit/>
          <w:trHeight w:val="60"/>
        </w:trPr>
        <w:tc>
          <w:tcPr>
            <w:tcW w:w="1871" w:type="dxa"/>
          </w:tcPr>
          <w:p w14:paraId="6C0CB9D8" w14:textId="23E22110" w:rsidR="009C4F8E" w:rsidRDefault="009C4F8E" w:rsidP="009C4F8E">
            <w:pPr>
              <w:pStyle w:val="TableSideHeading"/>
              <w:keepLines w:val="0"/>
            </w:pPr>
            <w:r>
              <w:rPr>
                <w:rtl/>
              </w:rPr>
              <w:t xml:space="preserve">תיקון </w:t>
            </w:r>
            <w:r>
              <w:rPr>
                <w:rFonts w:hint="cs"/>
                <w:rtl/>
              </w:rPr>
              <w:t>חוק מבקר המדינה</w:t>
            </w:r>
          </w:p>
        </w:tc>
        <w:tc>
          <w:tcPr>
            <w:tcW w:w="624" w:type="dxa"/>
          </w:tcPr>
          <w:p w14:paraId="3F4286A2" w14:textId="351B353C" w:rsidR="009C4F8E" w:rsidRDefault="009C4F8E" w:rsidP="009C4F8E">
            <w:pPr>
              <w:pStyle w:val="TableText"/>
              <w:keepLines w:val="0"/>
            </w:pPr>
            <w:r w:rsidRPr="00661D16">
              <w:rPr>
                <w:rtl/>
              </w:rPr>
              <w:t>2.</w:t>
            </w:r>
          </w:p>
        </w:tc>
        <w:tc>
          <w:tcPr>
            <w:tcW w:w="7146" w:type="dxa"/>
          </w:tcPr>
          <w:p w14:paraId="7633D5BB" w14:textId="6FD61124" w:rsidR="009C4F8E" w:rsidRPr="00C34DE2" w:rsidRDefault="009C4F8E" w:rsidP="009C4F8E">
            <w:pPr>
              <w:pStyle w:val="TableBlock"/>
              <w:keepLines w:val="0"/>
            </w:pPr>
            <w:r w:rsidRPr="00F2099F">
              <w:rPr>
                <w:rtl/>
              </w:rPr>
              <w:t xml:space="preserve">בחוק </w:t>
            </w:r>
            <w:r w:rsidRPr="00F2099F">
              <w:rPr>
                <w:rFonts w:hint="cs"/>
                <w:rtl/>
              </w:rPr>
              <w:t>מבקר המדינה, התשי"ח</w:t>
            </w:r>
            <w:r w:rsidRPr="00F2099F">
              <w:rPr>
                <w:rFonts w:hint="eastAsia"/>
                <w:rtl/>
              </w:rPr>
              <w:t>–</w:t>
            </w:r>
            <w:r w:rsidRPr="00F2099F">
              <w:rPr>
                <w:rFonts w:hint="cs"/>
                <w:rtl/>
              </w:rPr>
              <w:t>1958 [נוסח משולב]</w:t>
            </w:r>
            <w:r w:rsidRPr="00294239">
              <w:rPr>
                <w:rStyle w:val="a6"/>
                <w:rtl/>
              </w:rPr>
              <w:footnoteReference w:id="3"/>
            </w:r>
            <w:r w:rsidRPr="00F2099F">
              <w:rPr>
                <w:rFonts w:hint="cs"/>
                <w:rtl/>
              </w:rPr>
              <w:t>, בסעיף 45(א)(2), בסופו יבוא</w:t>
            </w:r>
            <w:r w:rsidRPr="00F2099F">
              <w:rPr>
                <w:rtl/>
              </w:rPr>
              <w:t xml:space="preserve"> </w:t>
            </w:r>
            <w:r w:rsidRPr="00F2099F">
              <w:rPr>
                <w:rFonts w:hint="cs"/>
                <w:rtl/>
              </w:rPr>
              <w:t>"</w:t>
            </w:r>
            <w:r>
              <w:rPr>
                <w:rFonts w:hint="cs"/>
                <w:rtl/>
              </w:rPr>
              <w:t xml:space="preserve">על אף </w:t>
            </w:r>
            <w:r w:rsidRPr="00F2099F">
              <w:rPr>
                <w:rFonts w:hint="cs"/>
                <w:rtl/>
              </w:rPr>
              <w:t>הוראות פסקה זו</w:t>
            </w:r>
            <w:r>
              <w:rPr>
                <w:rFonts w:hint="cs"/>
                <w:rtl/>
              </w:rPr>
              <w:t xml:space="preserve">, בחישוב תקופת ההתיישנות לעניין </w:t>
            </w:r>
            <w:r w:rsidRPr="00F2099F">
              <w:rPr>
                <w:rFonts w:hint="cs"/>
                <w:rtl/>
              </w:rPr>
              <w:t>תובענ</w:t>
            </w:r>
            <w:r>
              <w:rPr>
                <w:rFonts w:hint="cs"/>
                <w:rtl/>
              </w:rPr>
              <w:t>ה</w:t>
            </w:r>
            <w:r w:rsidRPr="00F2099F">
              <w:rPr>
                <w:rFonts w:hint="cs"/>
                <w:rtl/>
              </w:rPr>
              <w:t xml:space="preserve"> לבית הדין לעבודה לפי חוק הגנה על עובדים (חשיפת עבירות פגיעה בטוהר המידות או במינהל תקין), התשנ"ז</w:t>
            </w:r>
            <w:r w:rsidRPr="00F2099F">
              <w:rPr>
                <w:rFonts w:hint="eastAsia"/>
                <w:rtl/>
              </w:rPr>
              <w:t>–</w:t>
            </w:r>
            <w:r w:rsidRPr="00F2099F">
              <w:rPr>
                <w:rFonts w:hint="cs"/>
                <w:rtl/>
              </w:rPr>
              <w:t>1997</w:t>
            </w:r>
            <w:r w:rsidRPr="00F2099F">
              <w:rPr>
                <w:rStyle w:val="a6"/>
                <w:rtl/>
              </w:rPr>
              <w:footnoteReference w:id="4"/>
            </w:r>
            <w:r w:rsidRPr="00F2099F">
              <w:rPr>
                <w:rFonts w:hint="cs"/>
                <w:rtl/>
              </w:rPr>
              <w:t>,</w:t>
            </w:r>
            <w:r>
              <w:rPr>
                <w:rFonts w:hint="cs"/>
                <w:rtl/>
              </w:rPr>
              <w:t xml:space="preserve"> לא תבוא במניין התקופה ש</w:t>
            </w:r>
            <w:r w:rsidRPr="00F2099F">
              <w:rPr>
                <w:rFonts w:hint="cs"/>
                <w:rtl/>
              </w:rPr>
              <w:t>מיום הגשת תלונה באותו עניין לנציב תלונות הציבור, ועד לסיום הטיפול</w:t>
            </w:r>
            <w:r>
              <w:rPr>
                <w:rFonts w:hint="cs"/>
                <w:rtl/>
              </w:rPr>
              <w:t xml:space="preserve"> בתלונה</w:t>
            </w:r>
            <w:r w:rsidRPr="00F2099F">
              <w:rPr>
                <w:rFonts w:hint="cs"/>
                <w:rtl/>
              </w:rPr>
              <w:t xml:space="preserve"> ובירורה".</w:t>
            </w:r>
            <w:r w:rsidRPr="00F2099F">
              <w:rPr>
                <w:rtl/>
              </w:rPr>
              <w:t xml:space="preserve">                                              </w:t>
            </w:r>
          </w:p>
        </w:tc>
      </w:tr>
    </w:tbl>
    <w:p w14:paraId="7F6961CA" w14:textId="77777777" w:rsidR="002D1EE3" w:rsidRDefault="002D1EE3" w:rsidP="002D1EE3">
      <w:pPr>
        <w:pStyle w:val="HeadDivreiHesber"/>
        <w:rPr>
          <w:rtl/>
        </w:rPr>
      </w:pPr>
      <w:r w:rsidRPr="0027450A">
        <w:rPr>
          <w:rFonts w:hint="cs"/>
          <w:rtl/>
        </w:rPr>
        <w:t>דברי הסבר</w:t>
      </w:r>
    </w:p>
    <w:p w14:paraId="11B76E7A" w14:textId="438B284C" w:rsidR="00A27995" w:rsidRPr="00961B83" w:rsidRDefault="00A27995" w:rsidP="00A27995">
      <w:pPr>
        <w:pStyle w:val="Hesber"/>
        <w:rPr>
          <w:rtl/>
        </w:rPr>
      </w:pPr>
      <w:r w:rsidRPr="00961B83">
        <w:rPr>
          <w:rFonts w:hint="cs"/>
          <w:rtl/>
        </w:rPr>
        <w:t>חוק הגנה על עובדים (חשיפת עבירות ופגיעה בטוהר המידות או במנהל התקין), התשנ"ז</w:t>
      </w:r>
      <w:r w:rsidRPr="00961B83">
        <w:rPr>
          <w:rFonts w:hint="eastAsia"/>
          <w:rtl/>
        </w:rPr>
        <w:t>–</w:t>
      </w:r>
      <w:r w:rsidRPr="00961B83">
        <w:rPr>
          <w:rFonts w:hint="cs"/>
          <w:rtl/>
        </w:rPr>
        <w:t>1997 (להלן</w:t>
      </w:r>
      <w:r w:rsidRPr="00961B83">
        <w:rPr>
          <w:rtl/>
        </w:rPr>
        <w:t xml:space="preserve"> </w:t>
      </w:r>
      <w:r w:rsidRPr="00961B83">
        <w:rPr>
          <w:rFonts w:hint="eastAsia"/>
          <w:rtl/>
        </w:rPr>
        <w:t>–</w:t>
      </w:r>
      <w:r w:rsidRPr="00961B83">
        <w:rPr>
          <w:rFonts w:hint="cs"/>
          <w:rtl/>
        </w:rPr>
        <w:t xml:space="preserve"> החוק), נחקק במטרה להגן על עובד שחשף מעשה שחיתות במקום עבודתו, ולעודד עובדים לחשוף מעשי שחיתות. החוק מאפשר לעובד שפוטר או שנפגעו תנאי עבודתו בשל כך שחשף מעשי שחיתות, להגיש תובענה נגד מעסיקו לבית הדין האזורי לעבודה. לפי סעיף 5 לחוק</w:t>
      </w:r>
      <w:r w:rsidR="009C4F8E">
        <w:rPr>
          <w:rFonts w:hint="cs"/>
          <w:rtl/>
        </w:rPr>
        <w:t>,</w:t>
      </w:r>
      <w:r w:rsidRPr="00961B83">
        <w:rPr>
          <w:rFonts w:hint="cs"/>
          <w:rtl/>
        </w:rPr>
        <w:t xml:space="preserve"> תקופת ההתיישנות לעניין תובענה כאמור, היא שנים עשר חודשים.  </w:t>
      </w:r>
    </w:p>
    <w:p w14:paraId="4515FCA9" w14:textId="77777777" w:rsidR="00A27995" w:rsidRPr="00961B83" w:rsidRDefault="00A27995" w:rsidP="00A27995">
      <w:pPr>
        <w:pStyle w:val="Hesber"/>
        <w:rPr>
          <w:rtl/>
        </w:rPr>
      </w:pPr>
      <w:r w:rsidRPr="00961B83">
        <w:rPr>
          <w:rFonts w:hint="cs"/>
          <w:rtl/>
        </w:rPr>
        <w:t xml:space="preserve"> בתובענה בשל פגיעה בתנאי העבודה, לבית הדין יש סמכות לפסוק לעובד פיצויים בסכום של יעלה על 50,000 שקלים חדשים, ללא הוכחת נזק</w:t>
      </w:r>
      <w:r>
        <w:rPr>
          <w:rFonts w:hint="cs"/>
          <w:rtl/>
        </w:rPr>
        <w:t xml:space="preserve">. נוסף על </w:t>
      </w:r>
      <w:r w:rsidRPr="00961B83">
        <w:rPr>
          <w:rFonts w:hint="cs"/>
          <w:rtl/>
        </w:rPr>
        <w:t>כך, לבית הדין סמכות לפסוק פיצויים לדוגמה בסכום של עד 500,000 שקלים חדשים בשל חומרת ההפרה, וכן רשאי בית הדין לתת צו מניעה או צו עשה, לרבות צו המבטל את פיטורי העובד. האפשרות של הגשת תובענה עשויה להרתיע מעסיקים מפני פגיעה בעובדים החושפים שחיתויות, ולכן יש חשיבות לזמן שבו מתאפשר להגיש תובענה בשל פגיעה בעובד כאמור.</w:t>
      </w:r>
      <w:r w:rsidRPr="00961B83">
        <w:rPr>
          <w:highlight w:val="yellow"/>
          <w:rtl/>
        </w:rPr>
        <w:t xml:space="preserve"> </w:t>
      </w:r>
    </w:p>
    <w:p w14:paraId="778ABE07" w14:textId="4C95D016" w:rsidR="00A27995" w:rsidRPr="00961B83" w:rsidRDefault="00A27995" w:rsidP="009C4F8E">
      <w:pPr>
        <w:pStyle w:val="Hesber"/>
        <w:rPr>
          <w:rtl/>
        </w:rPr>
      </w:pPr>
      <w:r w:rsidRPr="00961B83">
        <w:rPr>
          <w:rFonts w:hint="eastAsia"/>
          <w:rtl/>
        </w:rPr>
        <w:lastRenderedPageBreak/>
        <w:t>נוסף</w:t>
      </w:r>
      <w:r w:rsidRPr="00961B83">
        <w:rPr>
          <w:rtl/>
        </w:rPr>
        <w:t xml:space="preserve"> </w:t>
      </w:r>
      <w:r>
        <w:rPr>
          <w:rFonts w:hint="cs"/>
          <w:rtl/>
        </w:rPr>
        <w:t xml:space="preserve">על </w:t>
      </w:r>
      <w:r w:rsidRPr="00961B83">
        <w:rPr>
          <w:rFonts w:hint="eastAsia"/>
          <w:rtl/>
        </w:rPr>
        <w:t>כך</w:t>
      </w:r>
      <w:r w:rsidRPr="00961B83">
        <w:rPr>
          <w:rFonts w:hint="cs"/>
          <w:rtl/>
        </w:rPr>
        <w:t>, עובד הנפגע בשל חשיפת שחיתות בגוף מבוקר לפי חוק מבקר המדינה, התשי''ח</w:t>
      </w:r>
      <w:r w:rsidRPr="00961B83">
        <w:rPr>
          <w:rFonts w:hint="eastAsia"/>
          <w:rtl/>
        </w:rPr>
        <w:t>–</w:t>
      </w:r>
      <w:r w:rsidRPr="00961B83">
        <w:rPr>
          <w:rFonts w:hint="cs"/>
          <w:rtl/>
        </w:rPr>
        <w:t>1958</w:t>
      </w:r>
      <w:r>
        <w:rPr>
          <w:rFonts w:hint="cs"/>
          <w:rtl/>
        </w:rPr>
        <w:t xml:space="preserve"> [נוסח משולב]</w:t>
      </w:r>
      <w:r w:rsidRPr="00961B83">
        <w:rPr>
          <w:rFonts w:hint="cs"/>
          <w:rtl/>
        </w:rPr>
        <w:t xml:space="preserve"> (להלן </w:t>
      </w:r>
      <w:r w:rsidRPr="00961B83">
        <w:rPr>
          <w:rFonts w:hint="eastAsia"/>
          <w:rtl/>
        </w:rPr>
        <w:t>–</w:t>
      </w:r>
      <w:r w:rsidRPr="00961B83">
        <w:rPr>
          <w:rFonts w:hint="cs"/>
          <w:rtl/>
        </w:rPr>
        <w:t xml:space="preserve"> חוק מבקר המדינה)</w:t>
      </w:r>
      <w:r>
        <w:rPr>
          <w:rFonts w:hint="cs"/>
          <w:rtl/>
        </w:rPr>
        <w:t>,</w:t>
      </w:r>
      <w:r w:rsidRPr="00961B83">
        <w:rPr>
          <w:rFonts w:hint="cs"/>
          <w:rtl/>
        </w:rPr>
        <w:t xml:space="preserve"> יכול לפנות לנציב תלונות הציבור לקבלת סעד.</w:t>
      </w:r>
      <w:r w:rsidRPr="00961B83">
        <w:rPr>
          <w:rtl/>
        </w:rPr>
        <w:t xml:space="preserve"> </w:t>
      </w:r>
      <w:r w:rsidRPr="00961B83">
        <w:rPr>
          <w:rFonts w:hint="cs"/>
          <w:rtl/>
        </w:rPr>
        <w:t>ה</w:t>
      </w:r>
      <w:r w:rsidRPr="00961B83">
        <w:rPr>
          <w:rFonts w:hint="eastAsia"/>
          <w:rtl/>
        </w:rPr>
        <w:t>נציב</w:t>
      </w:r>
      <w:r w:rsidRPr="00961B83">
        <w:rPr>
          <w:rtl/>
        </w:rPr>
        <w:t xml:space="preserve"> </w:t>
      </w:r>
      <w:r w:rsidRPr="00961B83">
        <w:rPr>
          <w:rFonts w:hint="cs"/>
          <w:rtl/>
        </w:rPr>
        <w:t xml:space="preserve">רשאי </w:t>
      </w:r>
      <w:r w:rsidRPr="00961B83">
        <w:rPr>
          <w:rFonts w:hint="eastAsia"/>
          <w:rtl/>
        </w:rPr>
        <w:t>לתת</w:t>
      </w:r>
      <w:r w:rsidRPr="00961B83">
        <w:rPr>
          <w:rtl/>
        </w:rPr>
        <w:t xml:space="preserve"> </w:t>
      </w:r>
      <w:r w:rsidRPr="00961B83">
        <w:rPr>
          <w:rFonts w:hint="eastAsia"/>
          <w:rtl/>
        </w:rPr>
        <w:t>צו</w:t>
      </w:r>
      <w:r w:rsidRPr="00961B83">
        <w:rPr>
          <w:rtl/>
        </w:rPr>
        <w:t xml:space="preserve"> </w:t>
      </w:r>
      <w:r w:rsidRPr="00961B83">
        <w:rPr>
          <w:rFonts w:hint="eastAsia"/>
          <w:rtl/>
        </w:rPr>
        <w:t>המורה</w:t>
      </w:r>
      <w:r w:rsidRPr="00961B83">
        <w:rPr>
          <w:rtl/>
        </w:rPr>
        <w:t xml:space="preserve"> </w:t>
      </w:r>
      <w:r w:rsidRPr="00961B83">
        <w:rPr>
          <w:rFonts w:hint="eastAsia"/>
          <w:rtl/>
        </w:rPr>
        <w:t>להחזיר</w:t>
      </w:r>
      <w:r w:rsidRPr="00961B83">
        <w:rPr>
          <w:rtl/>
        </w:rPr>
        <w:t xml:space="preserve"> </w:t>
      </w:r>
      <w:r w:rsidRPr="00961B83">
        <w:rPr>
          <w:rFonts w:hint="cs"/>
          <w:rtl/>
        </w:rPr>
        <w:t xml:space="preserve">לעבודה </w:t>
      </w:r>
      <w:r w:rsidRPr="00961B83">
        <w:rPr>
          <w:rFonts w:hint="eastAsia"/>
          <w:rtl/>
        </w:rPr>
        <w:t>עובד</w:t>
      </w:r>
      <w:r w:rsidRPr="00961B83">
        <w:rPr>
          <w:rtl/>
        </w:rPr>
        <w:t xml:space="preserve"> </w:t>
      </w:r>
      <w:r w:rsidRPr="00961B83">
        <w:rPr>
          <w:rFonts w:hint="eastAsia"/>
          <w:rtl/>
        </w:rPr>
        <w:t>שפוטר</w:t>
      </w:r>
      <w:r w:rsidRPr="00961B83">
        <w:rPr>
          <w:rtl/>
        </w:rPr>
        <w:t xml:space="preserve"> </w:t>
      </w:r>
      <w:r w:rsidRPr="00961B83">
        <w:rPr>
          <w:rFonts w:hint="eastAsia"/>
          <w:rtl/>
        </w:rPr>
        <w:t>בשל</w:t>
      </w:r>
      <w:r w:rsidRPr="00961B83">
        <w:rPr>
          <w:rtl/>
        </w:rPr>
        <w:t xml:space="preserve"> </w:t>
      </w:r>
      <w:r w:rsidRPr="00961B83">
        <w:rPr>
          <w:rFonts w:hint="eastAsia"/>
          <w:rtl/>
        </w:rPr>
        <w:t>חשיפת</w:t>
      </w:r>
      <w:r w:rsidRPr="00961B83">
        <w:rPr>
          <w:rtl/>
        </w:rPr>
        <w:t xml:space="preserve"> </w:t>
      </w:r>
      <w:r w:rsidRPr="00961B83">
        <w:rPr>
          <w:rFonts w:hint="eastAsia"/>
          <w:rtl/>
        </w:rPr>
        <w:t>שחיתות</w:t>
      </w:r>
      <w:r w:rsidRPr="00961B83">
        <w:rPr>
          <w:rtl/>
        </w:rPr>
        <w:t xml:space="preserve"> </w:t>
      </w:r>
      <w:r w:rsidRPr="00961B83">
        <w:rPr>
          <w:rFonts w:hint="eastAsia"/>
          <w:rtl/>
        </w:rPr>
        <w:t>במקום</w:t>
      </w:r>
      <w:r w:rsidRPr="00961B83">
        <w:rPr>
          <w:rtl/>
        </w:rPr>
        <w:t xml:space="preserve"> </w:t>
      </w:r>
      <w:r w:rsidRPr="00961B83">
        <w:rPr>
          <w:rFonts w:hint="eastAsia"/>
          <w:rtl/>
        </w:rPr>
        <w:t>העבודה</w:t>
      </w:r>
      <w:r w:rsidRPr="00961B83">
        <w:rPr>
          <w:rFonts w:hint="cs"/>
          <w:rtl/>
        </w:rPr>
        <w:t xml:space="preserve">, או לקבוע פיצויים לעובד </w:t>
      </w:r>
      <w:r w:rsidRPr="00961B83">
        <w:rPr>
          <w:rtl/>
        </w:rPr>
        <w:t xml:space="preserve"> </w:t>
      </w:r>
      <w:r w:rsidRPr="00961B83">
        <w:rPr>
          <w:rFonts w:hint="eastAsia"/>
          <w:rtl/>
        </w:rPr>
        <w:t>ב</w:t>
      </w:r>
      <w:r w:rsidRPr="00961B83">
        <w:rPr>
          <w:rFonts w:hint="cs"/>
          <w:rtl/>
        </w:rPr>
        <w:t xml:space="preserve">התאם להוראות </w:t>
      </w:r>
      <w:r w:rsidRPr="00961B83">
        <w:rPr>
          <w:rFonts w:hint="eastAsia"/>
          <w:rtl/>
        </w:rPr>
        <w:t>סעיף</w:t>
      </w:r>
      <w:r w:rsidRPr="00961B83">
        <w:rPr>
          <w:rtl/>
        </w:rPr>
        <w:t xml:space="preserve"> 45ג</w:t>
      </w:r>
      <w:r w:rsidRPr="00961B83">
        <w:rPr>
          <w:rFonts w:hint="cs"/>
          <w:rtl/>
        </w:rPr>
        <w:t xml:space="preserve"> לחוק מבקר המדינה. פניה לנציב תלונות הציבור בשל פגיעה בעובד, אינה מאריכה את תקופת ההתיישנות להגשת תובענה ועובד שפנה לנציב יכול להיוותר ללא סעד, בשל כך שהמועד להגשת התובענה חלף.  </w:t>
      </w:r>
    </w:p>
    <w:p w14:paraId="20A8FC32" w14:textId="77777777" w:rsidR="00A27995" w:rsidRDefault="00A27995" w:rsidP="00A27995">
      <w:pPr>
        <w:pStyle w:val="Hesber"/>
        <w:rPr>
          <w:rtl/>
        </w:rPr>
      </w:pPr>
      <w:r w:rsidRPr="00961B83">
        <w:rPr>
          <w:rFonts w:hint="cs"/>
          <w:rtl/>
        </w:rPr>
        <w:t xml:space="preserve">לפיכך מוצע להאריך לשבע שנים את תקופת ההתיישנות הקבועה בחוק, וזאת כדי לאפשר למספר רב יותר של חושפי שחיתויות, שזכויותיהם בעבודה נפגעו, להגיש תובענה בשל כך. עוד מוצע לקבוע בחוק מבקר המדינה, כי פרק הזמן שממועד הגשת תלונה לנציב תלונות הציבור בשל חשיפת שחיתות, ועד לסיום בירורה, לא יבוא במניין תקופת ההתיישנות לעניין תובענה המוגשת לבית הדין לעבודה. </w:t>
      </w:r>
    </w:p>
    <w:p w14:paraId="5C27867D" w14:textId="450E37A4" w:rsidR="00A27995" w:rsidRDefault="00A27995" w:rsidP="009C4F8E">
      <w:pPr>
        <w:pStyle w:val="Hesber"/>
        <w:rPr>
          <w:rtl/>
        </w:rPr>
      </w:pPr>
      <w:r>
        <w:rPr>
          <w:rFonts w:hint="cs"/>
          <w:rtl/>
        </w:rPr>
        <w:t>הצעת חוק זהה הונחה על שולחן הכנסת העשרים על ידי חברת הכנסת רחל עזריה</w:t>
      </w:r>
      <w:r>
        <w:t xml:space="preserve"> </w:t>
      </w:r>
      <w:r>
        <w:rPr>
          <w:rFonts w:hint="cs"/>
          <w:rtl/>
        </w:rPr>
        <w:t>(</w:t>
      </w:r>
      <w:r w:rsidRPr="002A7647">
        <w:rPr>
          <w:rtl/>
        </w:rPr>
        <w:t>פ/5463/20</w:t>
      </w:r>
      <w:r>
        <w:t>(</w:t>
      </w:r>
      <w:r w:rsidR="009C4F8E">
        <w:rPr>
          <w:rFonts w:hint="cs"/>
          <w:rtl/>
        </w:rPr>
        <w:t>.</w:t>
      </w:r>
    </w:p>
    <w:p w14:paraId="5FD2D6AD" w14:textId="77777777" w:rsidR="00A27995" w:rsidRDefault="00A27995" w:rsidP="00A27995">
      <w:pPr>
        <w:pStyle w:val="Hesber"/>
        <w:rPr>
          <w:rtl/>
        </w:rPr>
      </w:pPr>
    </w:p>
    <w:p w14:paraId="43AAF22D" w14:textId="77777777" w:rsidR="00F7135A" w:rsidRDefault="00F7135A" w:rsidP="00A27995">
      <w:pPr>
        <w:pStyle w:val="Hesber"/>
        <w:rPr>
          <w:rtl/>
        </w:rPr>
      </w:pPr>
      <w:bookmarkStart w:id="8" w:name="_GoBack"/>
      <w:bookmarkEnd w:id="8"/>
    </w:p>
    <w:p w14:paraId="42D63748" w14:textId="77777777" w:rsidR="00F7135A" w:rsidRPr="00D73212" w:rsidRDefault="00F7135A" w:rsidP="00F7135A">
      <w:pPr>
        <w:pStyle w:val="Hesber"/>
        <w:rPr>
          <w:color w:val="auto"/>
          <w:rtl/>
          <w:lang w:eastAsia="en-US"/>
        </w:rPr>
      </w:pPr>
      <w:r w:rsidRPr="00D73212">
        <w:rPr>
          <w:color w:val="auto"/>
          <w:rtl/>
          <w:lang w:eastAsia="en-US"/>
        </w:rPr>
        <w:t>---------------------------------</w:t>
      </w:r>
    </w:p>
    <w:p w14:paraId="2F138E96" w14:textId="77777777" w:rsidR="00F7135A" w:rsidRPr="00D73212" w:rsidRDefault="00F7135A" w:rsidP="00F7135A">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1C51EAA2" w14:textId="77777777" w:rsidR="00F7135A" w:rsidRPr="00D73212" w:rsidRDefault="00F7135A" w:rsidP="00F7135A">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DA31009" w14:textId="77777777" w:rsidR="00F7135A" w:rsidRPr="00317312" w:rsidRDefault="00F7135A" w:rsidP="00F7135A">
      <w:pPr>
        <w:pStyle w:val="Hesbe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p w14:paraId="7F6961CB" w14:textId="77777777" w:rsidR="00E13C27" w:rsidRPr="00F7135A" w:rsidRDefault="00E13C27" w:rsidP="00E13C27">
      <w:pPr>
        <w:pStyle w:val="Hesber"/>
        <w:rPr>
          <w:rtl/>
        </w:rPr>
      </w:pPr>
    </w:p>
    <w:sectPr w:rsidR="00E13C27" w:rsidRPr="00F7135A"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7135A">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655C7E4" w14:textId="77777777" w:rsidR="009C4F8E" w:rsidRDefault="009C4F8E" w:rsidP="00A27995">
      <w:pPr>
        <w:pStyle w:val="a4"/>
      </w:pPr>
      <w:r>
        <w:rPr>
          <w:rStyle w:val="a6"/>
        </w:rPr>
        <w:footnoteRef/>
      </w:r>
      <w:r>
        <w:rPr>
          <w:rtl/>
        </w:rPr>
        <w:t xml:space="preserve"> </w:t>
      </w:r>
      <w:r>
        <w:rPr>
          <w:rFonts w:hint="cs"/>
          <w:rtl/>
        </w:rPr>
        <w:t>ס"ח התשנ"ז, עמ' 66.</w:t>
      </w:r>
    </w:p>
  </w:footnote>
  <w:footnote w:id="3">
    <w:p w14:paraId="025C83D3" w14:textId="77777777" w:rsidR="009C4F8E" w:rsidRDefault="009C4F8E" w:rsidP="00A27995">
      <w:pPr>
        <w:pStyle w:val="a4"/>
      </w:pPr>
      <w:r>
        <w:rPr>
          <w:rStyle w:val="a6"/>
        </w:rPr>
        <w:footnoteRef/>
      </w:r>
      <w:r>
        <w:rPr>
          <w:rtl/>
        </w:rPr>
        <w:t xml:space="preserve"> </w:t>
      </w:r>
      <w:r>
        <w:rPr>
          <w:rFonts w:hint="cs"/>
          <w:rtl/>
        </w:rPr>
        <w:t>ס"ח התשי"ח, עמ' 92.</w:t>
      </w:r>
    </w:p>
  </w:footnote>
  <w:footnote w:id="4">
    <w:p w14:paraId="3239DEF0" w14:textId="77777777" w:rsidR="009C4F8E" w:rsidRDefault="009C4F8E" w:rsidP="00A27995">
      <w:pPr>
        <w:pStyle w:val="a4"/>
      </w:pPr>
      <w:r>
        <w:rPr>
          <w:rStyle w:val="a6"/>
        </w:rPr>
        <w:footnoteRef/>
      </w:r>
      <w:r>
        <w:rPr>
          <w:rtl/>
        </w:rPr>
        <w:t xml:space="preserve"> </w:t>
      </w:r>
      <w:r>
        <w:rPr>
          <w:rFonts w:hint="cs"/>
          <w:rtl/>
        </w:rPr>
        <w:t>ס"ח התשנ"ז, עמ' 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4F8E"/>
    <w:rsid w:val="009D6E0A"/>
    <w:rsid w:val="009E1E33"/>
    <w:rsid w:val="00A14672"/>
    <w:rsid w:val="00A26BD6"/>
    <w:rsid w:val="00A27995"/>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14CA8"/>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7135A"/>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D9DD2F4-BC7E-4EDB-BD0B-61ECDD51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locked/>
    <w:rsid w:val="00A2799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B69869C-7426-4F1B-BFEB-39AE5A2F9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F0C147-E9DC-42CF-86B4-D0893F58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464</Words>
  <Characters>2325</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2019-05-19T07:45:00Z</cp:lastPrinted>
  <dcterms:created xsi:type="dcterms:W3CDTF">2015-04-20T09:58:00Z</dcterms:created>
  <dcterms:modified xsi:type="dcterms:W3CDTF">2019-05-19T07:45:00Z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2078685</vt:r8>
  </property>
</Properties>
</file>