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2078665</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ואחת</w:t>
      </w:r>
      <w:bookmarkEnd w:id="1"/>
    </w:p>
    <w:p w14:paraId="7F6961A3" w14:textId="77777777" w:rsidR="00E13C27" w:rsidRPr="00F67051" w:rsidRDefault="00E13C27" w:rsidP="00E13C27">
      <w:pPr>
        <w:rPr>
          <w:rFonts w:cs="David"/>
          <w:b/>
          <w:bCs/>
          <w:sz w:val="26"/>
          <w:szCs w:val="26"/>
          <w:rtl/>
        </w:rPr>
      </w:pPr>
    </w:p>
    <w:p w14:paraId="7F6961AA" w14:textId="139FF34C" w:rsidR="00E13C27" w:rsidRPr="00CF1AA2" w:rsidRDefault="008F6665" w:rsidP="005D5C3D">
      <w:pPr>
        <w:pStyle w:val="David"/>
        <w:spacing w:line="360" w:lineRule="auto"/>
        <w:ind w:left="3544"/>
        <w:rPr>
          <w:b/>
          <w:bCs/>
          <w:sz w:val="16"/>
          <w:szCs w:val="16"/>
          <w:rtl/>
        </w:rPr>
      </w:pPr>
      <w:bookmarkStart w:id="2" w:name="LGS_Initiators_List"/>
      <w:r>
        <w:rPr>
          <w:b/>
          <w:bCs/>
          <w:rtl/>
        </w:rPr>
        <w:t>יוזמים:      חברי הכנסת</w:t>
      </w:r>
      <w:bookmarkEnd w:id="2"/>
      <w:r w:rsidR="00B35784" w:rsidRPr="00F67051">
        <w:rPr>
          <w:b/>
          <w:bCs/>
        </w:rPr>
        <w:tab/>
      </w:r>
      <w:bookmarkStart w:id="3" w:name="LGS_PM_Names"/>
      <w:r>
        <w:rPr>
          <w:rFonts w:hint="cs"/>
          <w:b/>
          <w:bCs/>
          <w:rtl/>
        </w:rPr>
        <w:t>מאיר כהן</w:t>
      </w:r>
      <w:r>
        <w:br/>
      </w:r>
      <w:r>
        <w:rPr>
          <w:rFonts w:hint="cs"/>
          <w:b/>
          <w:bCs/>
          <w:rtl/>
        </w:rPr>
        <w:t xml:space="preserve"> </w:t>
      </w:r>
      <w:r>
        <w:tab/>
      </w:r>
      <w:r>
        <w:tab/>
      </w:r>
      <w:r>
        <w:tab/>
      </w:r>
      <w:r>
        <w:tab/>
      </w:r>
      <w:r>
        <w:rPr>
          <w:rFonts w:hint="cs"/>
          <w:b/>
          <w:bCs/>
          <w:rtl/>
        </w:rPr>
        <w:t>יעל גרמן</w:t>
      </w:r>
      <w:r>
        <w:br/>
      </w:r>
      <w:r>
        <w:rPr>
          <w:rFonts w:hint="cs"/>
          <w:b/>
          <w:bCs/>
          <w:rtl/>
        </w:rPr>
        <w:t xml:space="preserve"> </w:t>
      </w:r>
      <w:r>
        <w:tab/>
      </w:r>
      <w:r>
        <w:tab/>
      </w:r>
      <w:r>
        <w:tab/>
      </w:r>
      <w:r>
        <w:tab/>
      </w:r>
      <w:r>
        <w:rPr>
          <w:rFonts w:hint="cs"/>
          <w:b/>
          <w:bCs/>
          <w:rtl/>
        </w:rPr>
        <w:t>אלעזר שטרן</w:t>
      </w:r>
      <w:bookmarkStart w:id="4" w:name="LGS_Join_List"/>
      <w:bookmarkStart w:id="5" w:name="_GoBack"/>
      <w:bookmarkEnd w:id="3"/>
      <w:bookmarkEnd w:id="5"/>
      <w:r w:rsidR="007D585A">
        <w:rPr>
          <w:rtl/>
        </w:rPr>
        <w:t xml:space="preserve"> </w:t>
      </w:r>
      <w:bookmarkEnd w:id="4"/>
      <w:r w:rsidR="002200A1" w:rsidRPr="00CF1AA2">
        <w:rPr>
          <w:rFonts w:hint="cs"/>
          <w:rtl/>
        </w:rPr>
        <w:tab/>
      </w:r>
      <w:bookmarkStart w:id="6" w:name="LGS_PM_NamesJoin"/>
      <w:r w:rsidR="007D585A">
        <w:rPr>
          <w:rFonts w:hint="cs"/>
          <w:rtl/>
        </w:rPr>
        <w:t xml:space="preserve"> </w:t>
      </w:r>
      <w:bookmarkEnd w:id="6"/>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256138AA" w:rsidR="00E13C27" w:rsidRPr="00E06736" w:rsidRDefault="00904591" w:rsidP="00904591">
      <w:pPr>
        <w:pStyle w:val="David"/>
        <w:spacing w:before="0" w:line="240" w:lineRule="auto"/>
        <w:ind w:left="3544"/>
        <w:rPr>
          <w:rtl/>
        </w:rPr>
      </w:pPr>
      <w:r>
        <w:t xml:space="preserve">                                            </w:t>
      </w:r>
      <w:r w:rsidR="008F1308">
        <w:t xml:space="preserve"> </w:t>
      </w:r>
      <w:bookmarkStart w:id="7" w:name="Private_Number"/>
      <w:r>
        <w:rPr>
          <w:rFonts w:hint="cs"/>
          <w:rtl/>
        </w:rPr>
        <w:t>פ/24/21</w:t>
      </w:r>
      <w:bookmarkEnd w:id="7"/>
    </w:p>
    <w:p w14:paraId="7F6961AC" w14:textId="77777777" w:rsidR="00E13C27" w:rsidRDefault="00E13C27" w:rsidP="00E13C27">
      <w:pPr>
        <w:spacing w:before="0" w:line="360" w:lineRule="auto"/>
        <w:ind w:left="2880" w:firstLine="720"/>
        <w:rPr>
          <w:rFonts w:cs="David"/>
          <w:sz w:val="26"/>
          <w:szCs w:val="26"/>
          <w:rtl/>
        </w:rPr>
      </w:pPr>
    </w:p>
    <w:p w14:paraId="7F6961AD" w14:textId="77777777" w:rsidR="00E13C27" w:rsidRDefault="00A443CF" w:rsidP="0021633A">
      <w:pPr>
        <w:pStyle w:val="HeadHatzaotHok"/>
        <w:rPr>
          <w:rtl/>
        </w:rPr>
      </w:pPr>
      <w:bookmarkStart w:id="8" w:name="LGS_Subject"/>
      <w:r>
        <w:rPr>
          <w:rFonts w:hint="cs"/>
          <w:rtl/>
        </w:rPr>
        <w:t>הצעת חוק זכויות הדייר בדיור הציבורי (תיקון – זכאות לאימהות יחידניות המקבלות מזונות ילדים), התשע"ט–2019</w:t>
      </w:r>
      <w:bookmarkEnd w:id="8"/>
    </w:p>
    <w:p w14:paraId="336A209B" w14:textId="77777777" w:rsidR="005D5C3D" w:rsidRDefault="005D5C3D" w:rsidP="005D5C3D">
      <w:pPr>
        <w:pStyle w:val="HeadHatzaotHok"/>
        <w:spacing w:line="240" w:lineRule="auto"/>
        <w:rPr>
          <w:rtl/>
        </w:rPr>
      </w:pPr>
    </w:p>
    <w:tbl>
      <w:tblPr>
        <w:bidiVisual/>
        <w:tblW w:w="9658" w:type="dxa"/>
        <w:tblLayout w:type="fixed"/>
        <w:tblCellMar>
          <w:top w:w="57" w:type="dxa"/>
          <w:left w:w="0" w:type="dxa"/>
          <w:bottom w:w="57" w:type="dxa"/>
          <w:right w:w="0" w:type="dxa"/>
        </w:tblCellMar>
        <w:tblLook w:val="01E0" w:firstRow="1" w:lastRow="1" w:firstColumn="1" w:lastColumn="1" w:noHBand="0" w:noVBand="0"/>
      </w:tblPr>
      <w:tblGrid>
        <w:gridCol w:w="1873"/>
        <w:gridCol w:w="624"/>
        <w:gridCol w:w="1874"/>
        <w:gridCol w:w="625"/>
        <w:gridCol w:w="4662"/>
      </w:tblGrid>
      <w:tr w:rsidR="0058726E" w14:paraId="2F3A86B6" w14:textId="77777777" w:rsidTr="00D340C1">
        <w:trPr>
          <w:cantSplit/>
          <w:trHeight w:val="60"/>
        </w:trPr>
        <w:tc>
          <w:tcPr>
            <w:tcW w:w="1873" w:type="dxa"/>
          </w:tcPr>
          <w:p w14:paraId="65927348" w14:textId="77777777" w:rsidR="0058726E" w:rsidRPr="00896375" w:rsidRDefault="0058726E" w:rsidP="00D340C1">
            <w:pPr>
              <w:pStyle w:val="TableBlock"/>
            </w:pPr>
            <w:r w:rsidRPr="00896375">
              <w:rPr>
                <w:rFonts w:hint="cs"/>
                <w:rtl/>
              </w:rPr>
              <w:t>הוספת סעיף 3ג</w:t>
            </w:r>
          </w:p>
        </w:tc>
        <w:tc>
          <w:tcPr>
            <w:tcW w:w="624" w:type="dxa"/>
          </w:tcPr>
          <w:p w14:paraId="3E5D8974" w14:textId="77777777" w:rsidR="0058726E" w:rsidRDefault="0058726E" w:rsidP="00D340C1">
            <w:pPr>
              <w:pStyle w:val="TableText"/>
              <w:keepLines w:val="0"/>
            </w:pPr>
            <w:r>
              <w:rPr>
                <w:rFonts w:hint="cs"/>
                <w:rtl/>
              </w:rPr>
              <w:t>1.</w:t>
            </w:r>
          </w:p>
        </w:tc>
        <w:tc>
          <w:tcPr>
            <w:tcW w:w="7161" w:type="dxa"/>
            <w:gridSpan w:val="3"/>
          </w:tcPr>
          <w:p w14:paraId="256F05B4" w14:textId="77777777" w:rsidR="0058726E" w:rsidRPr="007C39D9" w:rsidRDefault="0058726E" w:rsidP="00D340C1">
            <w:pPr>
              <w:pStyle w:val="TableBlock"/>
            </w:pPr>
            <w:bookmarkStart w:id="9" w:name="_Toc501008957"/>
            <w:bookmarkStart w:id="10" w:name="_Toc501008967"/>
            <w:r w:rsidRPr="007C39D9">
              <w:rPr>
                <w:rFonts w:hint="cs"/>
                <w:rtl/>
              </w:rPr>
              <w:t>בחוק זכויות הדייר בדיור הציבורי, התשנ"ח</w:t>
            </w:r>
            <w:r w:rsidRPr="007C39D9">
              <w:rPr>
                <w:rtl/>
              </w:rPr>
              <w:t>–</w:t>
            </w:r>
            <w:r w:rsidRPr="007C39D9">
              <w:rPr>
                <w:rFonts w:hint="cs"/>
                <w:rtl/>
              </w:rPr>
              <w:t>1998</w:t>
            </w:r>
            <w:r w:rsidRPr="007C39D9">
              <w:rPr>
                <w:sz w:val="12"/>
                <w:szCs w:val="18"/>
                <w:rtl/>
              </w:rPr>
              <w:footnoteReference w:id="2"/>
            </w:r>
            <w:r w:rsidRPr="007C39D9">
              <w:rPr>
                <w:rFonts w:hint="cs"/>
                <w:rtl/>
              </w:rPr>
              <w:t>, אחרי סעיף 3ב יבוא:</w:t>
            </w:r>
            <w:bookmarkEnd w:id="9"/>
            <w:bookmarkEnd w:id="10"/>
          </w:p>
        </w:tc>
      </w:tr>
      <w:tr w:rsidR="0058726E" w14:paraId="5A00955A" w14:textId="77777777" w:rsidTr="00D340C1">
        <w:trPr>
          <w:cantSplit/>
          <w:trHeight w:val="60"/>
        </w:trPr>
        <w:tc>
          <w:tcPr>
            <w:tcW w:w="1873" w:type="dxa"/>
          </w:tcPr>
          <w:p w14:paraId="734EB00F" w14:textId="77777777" w:rsidR="0058726E" w:rsidRDefault="0058726E" w:rsidP="00D340C1">
            <w:pPr>
              <w:pStyle w:val="TableSideHeading"/>
              <w:keepLines w:val="0"/>
            </w:pPr>
          </w:p>
        </w:tc>
        <w:tc>
          <w:tcPr>
            <w:tcW w:w="624" w:type="dxa"/>
          </w:tcPr>
          <w:p w14:paraId="2CC51547" w14:textId="77777777" w:rsidR="0058726E" w:rsidRDefault="0058726E" w:rsidP="00D340C1">
            <w:pPr>
              <w:pStyle w:val="TableText"/>
              <w:keepLines w:val="0"/>
            </w:pPr>
          </w:p>
        </w:tc>
        <w:tc>
          <w:tcPr>
            <w:tcW w:w="1874" w:type="dxa"/>
          </w:tcPr>
          <w:p w14:paraId="1FCE18F1" w14:textId="77777777" w:rsidR="0058726E" w:rsidRDefault="0058726E" w:rsidP="00D340C1">
            <w:pPr>
              <w:pStyle w:val="TableInnerSideHeading"/>
            </w:pPr>
            <w:r>
              <w:rPr>
                <w:rFonts w:hint="cs"/>
                <w:rtl/>
              </w:rPr>
              <w:t>"</w:t>
            </w:r>
            <w:r>
              <w:rPr>
                <w:rFonts w:hint="cs"/>
                <w:sz w:val="26"/>
                <w:rtl/>
              </w:rPr>
              <w:t>אי שלילת זכאות</w:t>
            </w:r>
            <w:r w:rsidRPr="00B735A6">
              <w:rPr>
                <w:rFonts w:hint="cs"/>
                <w:sz w:val="26"/>
                <w:rtl/>
              </w:rPr>
              <w:t xml:space="preserve"> למגורים בדירה ציבורית</w:t>
            </w:r>
            <w:r>
              <w:rPr>
                <w:rFonts w:hint="cs"/>
                <w:rtl/>
              </w:rPr>
              <w:t xml:space="preserve"> בשל תשלום מזונות</w:t>
            </w:r>
          </w:p>
        </w:tc>
        <w:tc>
          <w:tcPr>
            <w:tcW w:w="625" w:type="dxa"/>
          </w:tcPr>
          <w:p w14:paraId="409F885A" w14:textId="77777777" w:rsidR="0058726E" w:rsidRDefault="0058726E" w:rsidP="00D340C1">
            <w:pPr>
              <w:pStyle w:val="TableText"/>
            </w:pPr>
            <w:r>
              <w:rPr>
                <w:rFonts w:hint="cs"/>
                <w:rtl/>
              </w:rPr>
              <w:t>3ג.</w:t>
            </w:r>
          </w:p>
        </w:tc>
        <w:tc>
          <w:tcPr>
            <w:tcW w:w="4662" w:type="dxa"/>
          </w:tcPr>
          <w:p w14:paraId="433EC461" w14:textId="77777777" w:rsidR="0058726E" w:rsidRPr="00896375" w:rsidRDefault="0058726E" w:rsidP="00D340C1">
            <w:pPr>
              <w:pStyle w:val="TableBlock"/>
            </w:pPr>
            <w:r w:rsidRPr="00896375">
              <w:rPr>
                <w:rFonts w:hint="eastAsia"/>
                <w:rtl/>
              </w:rPr>
              <w:t>לא</w:t>
            </w:r>
            <w:r w:rsidRPr="00896375">
              <w:rPr>
                <w:rtl/>
              </w:rPr>
              <w:t xml:space="preserve"> </w:t>
            </w:r>
            <w:r w:rsidRPr="00896375">
              <w:rPr>
                <w:rFonts w:hint="eastAsia"/>
                <w:rtl/>
              </w:rPr>
              <w:t>תיפגע</w:t>
            </w:r>
            <w:r w:rsidRPr="00896375">
              <w:rPr>
                <w:rtl/>
              </w:rPr>
              <w:t xml:space="preserve"> </w:t>
            </w:r>
            <w:r w:rsidRPr="00896375">
              <w:rPr>
                <w:rFonts w:hint="eastAsia"/>
                <w:rtl/>
              </w:rPr>
              <w:t>זכות</w:t>
            </w:r>
            <w:r w:rsidRPr="00896375">
              <w:rPr>
                <w:rtl/>
              </w:rPr>
              <w:t xml:space="preserve"> של יחיד למגורים בדירה ציבורית בשל זכאות </w:t>
            </w:r>
            <w:r>
              <w:rPr>
                <w:rFonts w:hint="cs"/>
                <w:rtl/>
              </w:rPr>
              <w:t xml:space="preserve">לתשלומי </w:t>
            </w:r>
            <w:r w:rsidRPr="00896375">
              <w:rPr>
                <w:rtl/>
              </w:rPr>
              <w:t>מזונות</w:t>
            </w:r>
            <w:r>
              <w:rPr>
                <w:rFonts w:hint="cs"/>
                <w:rtl/>
              </w:rPr>
              <w:t xml:space="preserve"> </w:t>
            </w:r>
            <w:r w:rsidRPr="00896375">
              <w:rPr>
                <w:rtl/>
              </w:rPr>
              <w:t xml:space="preserve">כמשמעותם בחוק </w:t>
            </w:r>
            <w:r w:rsidRPr="00896375">
              <w:rPr>
                <w:rFonts w:hint="eastAsia"/>
                <w:rtl/>
              </w:rPr>
              <w:t>המזונות</w:t>
            </w:r>
            <w:r w:rsidRPr="00896375">
              <w:rPr>
                <w:rtl/>
              </w:rPr>
              <w:t xml:space="preserve"> (הבטחת </w:t>
            </w:r>
            <w:r w:rsidRPr="00896375">
              <w:rPr>
                <w:rFonts w:hint="eastAsia"/>
                <w:rtl/>
              </w:rPr>
              <w:t>תשלום</w:t>
            </w:r>
            <w:r w:rsidRPr="00896375">
              <w:rPr>
                <w:rtl/>
              </w:rPr>
              <w:t xml:space="preserve">), </w:t>
            </w:r>
            <w:r w:rsidRPr="00896375">
              <w:rPr>
                <w:rFonts w:hint="eastAsia"/>
                <w:rtl/>
              </w:rPr>
              <w:t>התשל</w:t>
            </w:r>
            <w:r w:rsidRPr="00896375">
              <w:rPr>
                <w:rtl/>
              </w:rPr>
              <w:t>"ב</w:t>
            </w:r>
            <w:r w:rsidRPr="00896375">
              <w:rPr>
                <w:rFonts w:hint="eastAsia"/>
                <w:rtl/>
              </w:rPr>
              <w:t>–</w:t>
            </w:r>
            <w:r w:rsidRPr="00896375">
              <w:rPr>
                <w:rtl/>
              </w:rPr>
              <w:t>1972</w:t>
            </w:r>
            <w:r>
              <w:rPr>
                <w:rStyle w:val="a6"/>
                <w:rtl/>
              </w:rPr>
              <w:footnoteReference w:id="3"/>
            </w:r>
            <w:r>
              <w:rPr>
                <w:rFonts w:hint="cs"/>
                <w:rtl/>
              </w:rPr>
              <w:t>;</w:t>
            </w:r>
            <w:r w:rsidRPr="00896375">
              <w:rPr>
                <w:rtl/>
              </w:rPr>
              <w:t xml:space="preserve"> לעניין זה, "יחיד" </w:t>
            </w:r>
            <w:r w:rsidRPr="00896375">
              <w:rPr>
                <w:rFonts w:hint="eastAsia"/>
                <w:rtl/>
              </w:rPr>
              <w:t>–</w:t>
            </w:r>
            <w:r w:rsidRPr="00896375">
              <w:rPr>
                <w:rtl/>
              </w:rPr>
              <w:t xml:space="preserve"> כהגדרתו בחוק הבטחת הכנסה, התשמ"א</w:t>
            </w:r>
            <w:r>
              <w:rPr>
                <w:rFonts w:hint="eastAsia"/>
                <w:rtl/>
              </w:rPr>
              <w:t>–</w:t>
            </w:r>
            <w:r w:rsidRPr="00896375">
              <w:rPr>
                <w:rtl/>
              </w:rPr>
              <w:softHyphen/>
              <w:t>1980</w:t>
            </w:r>
            <w:r>
              <w:rPr>
                <w:rStyle w:val="a6"/>
                <w:rtl/>
              </w:rPr>
              <w:footnoteReference w:id="4"/>
            </w:r>
            <w:r w:rsidRPr="00896375">
              <w:rPr>
                <w:rtl/>
              </w:rPr>
              <w:t>."</w:t>
            </w:r>
          </w:p>
        </w:tc>
      </w:tr>
    </w:tbl>
    <w:p w14:paraId="7F6961CA" w14:textId="77777777" w:rsidR="002D1EE3" w:rsidRDefault="002D1EE3" w:rsidP="002D1EE3">
      <w:pPr>
        <w:pStyle w:val="HeadDivreiHesber"/>
        <w:rPr>
          <w:rtl/>
        </w:rPr>
      </w:pPr>
      <w:r w:rsidRPr="0027450A">
        <w:rPr>
          <w:rFonts w:hint="cs"/>
          <w:rtl/>
        </w:rPr>
        <w:t>דברי הסבר</w:t>
      </w:r>
    </w:p>
    <w:p w14:paraId="64F1AC31" w14:textId="4DCFB36D" w:rsidR="0058726E" w:rsidRPr="00F6782B" w:rsidRDefault="0058726E" w:rsidP="00A8230D">
      <w:pPr>
        <w:pStyle w:val="Hesber"/>
        <w:rPr>
          <w:rtl/>
        </w:rPr>
      </w:pPr>
      <w:r>
        <w:rPr>
          <w:rFonts w:hint="cs"/>
          <w:rtl/>
        </w:rPr>
        <w:t>צמצום המלאי</w:t>
      </w:r>
      <w:r w:rsidRPr="00544AB0">
        <w:rPr>
          <w:rFonts w:hint="cs"/>
          <w:rtl/>
        </w:rPr>
        <w:t xml:space="preserve"> בדיור הציבורי והקשחת הקריטריונים לזכאות לדיור ציבורי הוליד</w:t>
      </w:r>
      <w:r w:rsidRPr="00E54F85">
        <w:rPr>
          <w:rFonts w:hint="cs"/>
          <w:rtl/>
        </w:rPr>
        <w:t>ו מצוקת דיור קשה ובלתי אפשרית, בעיקר עבור</w:t>
      </w:r>
      <w:r w:rsidRPr="00F6782B">
        <w:rPr>
          <w:rtl/>
        </w:rPr>
        <w:t xml:space="preserve"> אימהות </w:t>
      </w:r>
      <w:r>
        <w:rPr>
          <w:rtl/>
        </w:rPr>
        <w:t>חד-הורי</w:t>
      </w:r>
      <w:r w:rsidRPr="00F6782B">
        <w:rPr>
          <w:rtl/>
        </w:rPr>
        <w:t xml:space="preserve">ות המקבלות </w:t>
      </w:r>
      <w:r>
        <w:rPr>
          <w:rFonts w:hint="cs"/>
          <w:rtl/>
        </w:rPr>
        <w:t xml:space="preserve">תשלום </w:t>
      </w:r>
      <w:r w:rsidRPr="00F6782B">
        <w:rPr>
          <w:rtl/>
        </w:rPr>
        <w:t>מזונות</w:t>
      </w:r>
      <w:r>
        <w:rPr>
          <w:rFonts w:hint="cs"/>
          <w:rtl/>
        </w:rPr>
        <w:t xml:space="preserve"> מ</w:t>
      </w:r>
      <w:r w:rsidRPr="00F6782B">
        <w:rPr>
          <w:rtl/>
        </w:rPr>
        <w:t xml:space="preserve">המוסד לביטוח לאומי. אחד מהקריטריונים לקבלת זכאות לדיור ציבורי </w:t>
      </w:r>
      <w:r w:rsidR="00A8230D">
        <w:rPr>
          <w:rFonts w:hint="cs"/>
          <w:rtl/>
        </w:rPr>
        <w:t>הוא</w:t>
      </w:r>
      <w:r w:rsidR="00A8230D" w:rsidRPr="00F6782B">
        <w:rPr>
          <w:rtl/>
        </w:rPr>
        <w:t xml:space="preserve"> </w:t>
      </w:r>
      <w:r w:rsidRPr="00F6782B">
        <w:rPr>
          <w:rtl/>
        </w:rPr>
        <w:t>זכאות להבטחת הכנסה במשך שנתיים שלמות</w:t>
      </w:r>
      <w:r>
        <w:rPr>
          <w:rFonts w:hint="cs"/>
          <w:rtl/>
        </w:rPr>
        <w:t>. אישה המקבלת תשלום מזונות מהמוסד לביטוח לאומי לפי חוק המזונות (הבטחת תשלום), התשל"ב</w:t>
      </w:r>
      <w:r>
        <w:rPr>
          <w:rFonts w:hint="eastAsia"/>
          <w:rtl/>
        </w:rPr>
        <w:t>–</w:t>
      </w:r>
      <w:r>
        <w:rPr>
          <w:rFonts w:hint="cs"/>
          <w:rtl/>
        </w:rPr>
        <w:t xml:space="preserve">1972 (להלן </w:t>
      </w:r>
      <w:r>
        <w:rPr>
          <w:rtl/>
        </w:rPr>
        <w:t>–</w:t>
      </w:r>
      <w:r>
        <w:rPr>
          <w:rFonts w:hint="cs"/>
          <w:rtl/>
        </w:rPr>
        <w:t xml:space="preserve"> חוק המזונות), לא זכאית להבטחת הכנסה. כך,</w:t>
      </w:r>
      <w:r w:rsidRPr="00F6782B">
        <w:rPr>
          <w:rtl/>
        </w:rPr>
        <w:t xml:space="preserve"> נוצרה מציאות </w:t>
      </w:r>
      <w:r w:rsidR="000C17EF">
        <w:rPr>
          <w:rFonts w:hint="cs"/>
          <w:rtl/>
        </w:rPr>
        <w:t>ש</w:t>
      </w:r>
      <w:r w:rsidRPr="00F6782B">
        <w:rPr>
          <w:rtl/>
        </w:rPr>
        <w:t xml:space="preserve">בה אימהות </w:t>
      </w:r>
      <w:r>
        <w:rPr>
          <w:rtl/>
        </w:rPr>
        <w:t>חד-הורי</w:t>
      </w:r>
      <w:r w:rsidRPr="00F6782B">
        <w:rPr>
          <w:rtl/>
        </w:rPr>
        <w:t xml:space="preserve">ות מודרות כל העת מן הזכאות לדיור ציבורי בשל </w:t>
      </w:r>
      <w:r>
        <w:rPr>
          <w:rFonts w:hint="cs"/>
          <w:rtl/>
        </w:rPr>
        <w:t xml:space="preserve">קבלת תשלום </w:t>
      </w:r>
      <w:r w:rsidRPr="00F6782B">
        <w:rPr>
          <w:rtl/>
        </w:rPr>
        <w:t>מזונות.</w:t>
      </w:r>
    </w:p>
    <w:p w14:paraId="2667C625" w14:textId="1A2F0E30" w:rsidR="0058726E" w:rsidRPr="00480F0D" w:rsidRDefault="0058726E" w:rsidP="000C17EF">
      <w:pPr>
        <w:pStyle w:val="Hesber"/>
        <w:rPr>
          <w:rtl/>
        </w:rPr>
      </w:pPr>
      <w:r>
        <w:rPr>
          <w:rFonts w:hint="cs"/>
          <w:rtl/>
        </w:rPr>
        <w:t>מספר לא מבוטל של אימהות</w:t>
      </w:r>
      <w:r w:rsidRPr="00480F0D">
        <w:rPr>
          <w:rFonts w:hint="cs"/>
          <w:rtl/>
        </w:rPr>
        <w:t xml:space="preserve"> </w:t>
      </w:r>
      <w:r>
        <w:rPr>
          <w:rFonts w:hint="cs"/>
          <w:rtl/>
        </w:rPr>
        <w:t>חד-הורי</w:t>
      </w:r>
      <w:r w:rsidRPr="00480F0D">
        <w:rPr>
          <w:rFonts w:hint="cs"/>
          <w:rtl/>
        </w:rPr>
        <w:t xml:space="preserve">ות המקבלות </w:t>
      </w:r>
      <w:r>
        <w:rPr>
          <w:rFonts w:hint="cs"/>
          <w:rtl/>
        </w:rPr>
        <w:t xml:space="preserve">תשלום מזונות </w:t>
      </w:r>
      <w:r w:rsidRPr="00480F0D">
        <w:rPr>
          <w:rFonts w:hint="cs"/>
          <w:rtl/>
        </w:rPr>
        <w:t xml:space="preserve">נמצאות במקביל לכך במצוקת דיור קשה. </w:t>
      </w:r>
      <w:r>
        <w:rPr>
          <w:rFonts w:hint="cs"/>
          <w:rtl/>
        </w:rPr>
        <w:t xml:space="preserve">כדי </w:t>
      </w:r>
      <w:r w:rsidRPr="00480F0D">
        <w:rPr>
          <w:rFonts w:hint="cs"/>
          <w:rtl/>
        </w:rPr>
        <w:t>לעמוד בקריטריון הזכאות לדיור הציבורי</w:t>
      </w:r>
      <w:r>
        <w:rPr>
          <w:rFonts w:hint="cs"/>
          <w:rtl/>
        </w:rPr>
        <w:t>,</w:t>
      </w:r>
      <w:r w:rsidRPr="00480F0D">
        <w:rPr>
          <w:rFonts w:hint="cs"/>
          <w:rtl/>
        </w:rPr>
        <w:t xml:space="preserve"> הן נאלצות לוותר על </w:t>
      </w:r>
      <w:r>
        <w:rPr>
          <w:rFonts w:hint="cs"/>
          <w:rtl/>
        </w:rPr>
        <w:t>תשלום ה</w:t>
      </w:r>
      <w:r w:rsidRPr="00480F0D">
        <w:rPr>
          <w:rFonts w:hint="cs"/>
          <w:rtl/>
        </w:rPr>
        <w:t xml:space="preserve">מזונות </w:t>
      </w:r>
      <w:r>
        <w:rPr>
          <w:rFonts w:hint="cs"/>
          <w:rtl/>
        </w:rPr>
        <w:t>במטרה להשיג ביטחון דיורי</w:t>
      </w:r>
      <w:r w:rsidRPr="00F6782B">
        <w:rPr>
          <w:rtl/>
        </w:rPr>
        <w:t xml:space="preserve"> בעבור ילדיהן.</w:t>
      </w:r>
      <w:r>
        <w:rPr>
          <w:rFonts w:hint="cs"/>
          <w:rtl/>
        </w:rPr>
        <w:t xml:space="preserve"> </w:t>
      </w:r>
      <w:r w:rsidR="00A8230D">
        <w:rPr>
          <w:rFonts w:hint="cs"/>
          <w:rtl/>
        </w:rPr>
        <w:t>כתוצאה מ</w:t>
      </w:r>
      <w:r>
        <w:rPr>
          <w:rFonts w:hint="cs"/>
          <w:rtl/>
        </w:rPr>
        <w:t>כך,</w:t>
      </w:r>
      <w:r w:rsidRPr="00480F0D">
        <w:rPr>
          <w:rFonts w:hint="cs"/>
          <w:rtl/>
        </w:rPr>
        <w:t xml:space="preserve"> נוצר מצב</w:t>
      </w:r>
      <w:r>
        <w:rPr>
          <w:rFonts w:hint="cs"/>
          <w:rtl/>
        </w:rPr>
        <w:t xml:space="preserve"> </w:t>
      </w:r>
      <w:r w:rsidRPr="00480F0D">
        <w:rPr>
          <w:rFonts w:hint="cs"/>
          <w:rtl/>
        </w:rPr>
        <w:t xml:space="preserve">קשה </w:t>
      </w:r>
      <w:r w:rsidR="000C17EF">
        <w:rPr>
          <w:rFonts w:hint="cs"/>
          <w:rtl/>
        </w:rPr>
        <w:t>ש</w:t>
      </w:r>
      <w:r w:rsidRPr="00480F0D">
        <w:rPr>
          <w:rFonts w:hint="cs"/>
          <w:rtl/>
        </w:rPr>
        <w:t>בו נשים המקבלות מזונות מהמוסד לביטוח לאומי חיות בעוני מחפיר ואין להן כל אפשרות לשכירות בשוק החופשי</w:t>
      </w:r>
      <w:r w:rsidR="000C17EF">
        <w:rPr>
          <w:rFonts w:hint="cs"/>
          <w:rtl/>
        </w:rPr>
        <w:t xml:space="preserve"> בשל</w:t>
      </w:r>
      <w:r w:rsidR="00DC2F3E">
        <w:rPr>
          <w:rFonts w:hint="cs"/>
          <w:rtl/>
        </w:rPr>
        <w:t xml:space="preserve"> </w:t>
      </w:r>
      <w:r w:rsidRPr="00480F0D">
        <w:rPr>
          <w:rFonts w:hint="cs"/>
          <w:rtl/>
        </w:rPr>
        <w:t>הדרתן מזכאות לדיור ציבורי</w:t>
      </w:r>
      <w:r w:rsidR="000C17EF">
        <w:rPr>
          <w:rFonts w:hint="cs"/>
          <w:rtl/>
        </w:rPr>
        <w:t>. מצב זה</w:t>
      </w:r>
      <w:r w:rsidRPr="00480F0D">
        <w:rPr>
          <w:rFonts w:hint="cs"/>
          <w:rtl/>
        </w:rPr>
        <w:t xml:space="preserve"> משליך בצורה פוגענית </w:t>
      </w:r>
      <w:r w:rsidRPr="00F6782B">
        <w:rPr>
          <w:rtl/>
        </w:rPr>
        <w:t xml:space="preserve">על חייהן וחיי </w:t>
      </w:r>
      <w:r>
        <w:rPr>
          <w:rFonts w:hint="cs"/>
          <w:rtl/>
        </w:rPr>
        <w:t>ילדיהן</w:t>
      </w:r>
      <w:r w:rsidRPr="00480F0D">
        <w:rPr>
          <w:rFonts w:hint="cs"/>
          <w:rtl/>
        </w:rPr>
        <w:t xml:space="preserve">, פגיעה ניכרת המתבטאת בהמשך </w:t>
      </w:r>
      <w:r w:rsidRPr="00480F0D">
        <w:rPr>
          <w:rFonts w:hint="cs"/>
          <w:rtl/>
        </w:rPr>
        <w:lastRenderedPageBreak/>
        <w:t>במגוון תחומים.</w:t>
      </w:r>
    </w:p>
    <w:p w14:paraId="762933F5" w14:textId="77777777" w:rsidR="0058726E" w:rsidRPr="007108B8" w:rsidRDefault="0058726E" w:rsidP="0058726E">
      <w:pPr>
        <w:pStyle w:val="Hesber"/>
        <w:rPr>
          <w:rtl/>
        </w:rPr>
      </w:pPr>
      <w:r w:rsidRPr="00F6782B">
        <w:rPr>
          <w:rtl/>
        </w:rPr>
        <w:t xml:space="preserve">המעבר מתקבולי המזונות להבטחת הכנסה דורש התייצבות בלשכות התעסוקה ונתון לשלילה באופן תכוף. אם </w:t>
      </w:r>
      <w:r>
        <w:rPr>
          <w:rtl/>
        </w:rPr>
        <w:t>חד-הורי</w:t>
      </w:r>
      <w:r w:rsidRPr="00F6782B">
        <w:rPr>
          <w:rtl/>
        </w:rPr>
        <w:t>ת יכולה למצוא עצמה ללא הסיוע בשכר הדירה או הזכאות לדיור, ללא מזונות ילדיה וללא אפשרות לנהל חיים תקינים מאחר וחרב ההשלכה לרחוב מונפת כל העת מעל ראש</w:t>
      </w:r>
      <w:r>
        <w:rPr>
          <w:rFonts w:hint="cs"/>
          <w:rtl/>
        </w:rPr>
        <w:t>ה</w:t>
      </w:r>
      <w:r w:rsidRPr="00F6782B">
        <w:rPr>
          <w:rtl/>
        </w:rPr>
        <w:t xml:space="preserve">. </w:t>
      </w:r>
    </w:p>
    <w:p w14:paraId="25BB38E3" w14:textId="35D8C2A2" w:rsidR="0058726E" w:rsidRPr="00B14CF6" w:rsidRDefault="0058726E" w:rsidP="000C17EF">
      <w:pPr>
        <w:pStyle w:val="Hesber"/>
        <w:rPr>
          <w:highlight w:val="cyan"/>
          <w:rtl/>
        </w:rPr>
      </w:pPr>
      <w:r w:rsidRPr="00B14CF6">
        <w:rPr>
          <w:rtl/>
        </w:rPr>
        <w:t>כך</w:t>
      </w:r>
      <w:r>
        <w:rPr>
          <w:rFonts w:hint="cs"/>
          <w:rtl/>
        </w:rPr>
        <w:t>,</w:t>
      </w:r>
      <w:r w:rsidRPr="00B14CF6">
        <w:rPr>
          <w:rtl/>
        </w:rPr>
        <w:t xml:space="preserve"> נפגע</w:t>
      </w:r>
      <w:r w:rsidR="000C17EF">
        <w:rPr>
          <w:rFonts w:hint="cs"/>
          <w:rtl/>
        </w:rPr>
        <w:t>ות</w:t>
      </w:r>
      <w:r w:rsidRPr="00B14CF6">
        <w:rPr>
          <w:rtl/>
        </w:rPr>
        <w:t xml:space="preserve"> באופן קשה זכויות ילדיהן של אימהות </w:t>
      </w:r>
      <w:r>
        <w:rPr>
          <w:rtl/>
        </w:rPr>
        <w:t>חד-הורי</w:t>
      </w:r>
      <w:r w:rsidRPr="00B14CF6">
        <w:rPr>
          <w:rtl/>
        </w:rPr>
        <w:t>ות המקבלות מזונות</w:t>
      </w:r>
      <w:r w:rsidR="000C17EF">
        <w:rPr>
          <w:rFonts w:hint="cs"/>
          <w:rtl/>
        </w:rPr>
        <w:t>,</w:t>
      </w:r>
      <w:r w:rsidRPr="00B14CF6">
        <w:rPr>
          <w:rtl/>
        </w:rPr>
        <w:t xml:space="preserve"> </w:t>
      </w:r>
      <w:r w:rsidR="000C17EF">
        <w:rPr>
          <w:rFonts w:hint="cs"/>
          <w:rtl/>
        </w:rPr>
        <w:t>אשר</w:t>
      </w:r>
      <w:r w:rsidR="000C17EF" w:rsidRPr="00B14CF6">
        <w:rPr>
          <w:rtl/>
        </w:rPr>
        <w:t xml:space="preserve"> </w:t>
      </w:r>
      <w:r w:rsidRPr="00B14CF6">
        <w:rPr>
          <w:rtl/>
        </w:rPr>
        <w:t xml:space="preserve">אינם זכאים לקורת גג, למרות הזדקקותם הנואשת לקורת גג יציבה והולמת. </w:t>
      </w:r>
    </w:p>
    <w:p w14:paraId="1A82321C" w14:textId="57AF95D2" w:rsidR="0058726E" w:rsidRPr="00480F0D" w:rsidRDefault="0058726E" w:rsidP="0058726E">
      <w:pPr>
        <w:pStyle w:val="Hesber"/>
        <w:rPr>
          <w:rtl/>
        </w:rPr>
      </w:pPr>
      <w:r>
        <w:rPr>
          <w:rFonts w:hint="cs"/>
          <w:rtl/>
        </w:rPr>
        <w:t>לפי</w:t>
      </w:r>
      <w:r w:rsidRPr="00480F0D">
        <w:rPr>
          <w:rFonts w:hint="cs"/>
          <w:rtl/>
        </w:rPr>
        <w:t xml:space="preserve"> האמנה לזכויות הילד "לכל ילד יש זכות להתפתח, גופנית ונפשית</w:t>
      </w:r>
      <w:r>
        <w:rPr>
          <w:rFonts w:hint="cs"/>
          <w:rtl/>
        </w:rPr>
        <w:t xml:space="preserve"> </w:t>
      </w:r>
      <w:r>
        <w:rPr>
          <w:rFonts w:hint="eastAsia"/>
          <w:rtl/>
        </w:rPr>
        <w:t>–</w:t>
      </w:r>
      <w:r w:rsidRPr="00480F0D">
        <w:rPr>
          <w:rFonts w:hint="cs"/>
          <w:rtl/>
        </w:rPr>
        <w:t xml:space="preserve"> בביטחון, בשלום, בבריאות, </w:t>
      </w:r>
      <w:r w:rsidRPr="00F6782B">
        <w:rPr>
          <w:rtl/>
        </w:rPr>
        <w:t>בשוויון ובכבוד...</w:t>
      </w:r>
      <w:r w:rsidR="000C17EF">
        <w:rPr>
          <w:rFonts w:hint="cs"/>
          <w:rtl/>
        </w:rPr>
        <w:t xml:space="preserve"> </w:t>
      </w:r>
      <w:r w:rsidRPr="00F6782B">
        <w:rPr>
          <w:rtl/>
        </w:rPr>
        <w:t>המדינות החתומות על האמנה לזכויות הילד בהתאם לתנאיהן הלאומיים ואמצעיהן, ינקטו צעדים נאותים לסייע להורים ולאחראים לילד לממש זכות זו, ויספקו במקרה הצורך עזרה חומרית ותוכניות סיוע, במיוחד באשר לתזונה, ביגוד ודיור". בהתאם לזאת, ניתן לראות בכך פגיעה חמורה בזכויות הילד וכן פגיעה בעקרון השווי</w:t>
      </w:r>
      <w:r w:rsidRPr="007108B8">
        <w:rPr>
          <w:rtl/>
        </w:rPr>
        <w:t>ון.</w:t>
      </w:r>
    </w:p>
    <w:p w14:paraId="0FC92741" w14:textId="75B82137" w:rsidR="0058726E" w:rsidRPr="00B14CF6" w:rsidRDefault="0058726E" w:rsidP="00D92A73">
      <w:pPr>
        <w:pStyle w:val="Hesber"/>
        <w:rPr>
          <w:rtl/>
        </w:rPr>
      </w:pPr>
      <w:r w:rsidRPr="00F6782B">
        <w:rPr>
          <w:rtl/>
        </w:rPr>
        <w:t>זאת ועוד, דוח הוועדה הציבורית לנושא הפינויים מדירות הדיור הציבורי</w:t>
      </w:r>
      <w:r>
        <w:rPr>
          <w:rFonts w:hint="cs"/>
          <w:rtl/>
        </w:rPr>
        <w:t xml:space="preserve"> </w:t>
      </w:r>
      <w:r w:rsidR="000A27AD">
        <w:rPr>
          <w:rFonts w:hint="cs"/>
          <w:rtl/>
        </w:rPr>
        <w:t>(</w:t>
      </w:r>
      <w:r w:rsidRPr="00F6782B">
        <w:rPr>
          <w:rtl/>
        </w:rPr>
        <w:t>ועדת ברביבאי</w:t>
      </w:r>
      <w:r w:rsidR="000A27AD">
        <w:rPr>
          <w:rFonts w:hint="cs"/>
          <w:rtl/>
        </w:rPr>
        <w:t>)</w:t>
      </w:r>
      <w:r w:rsidRPr="00F6782B">
        <w:rPr>
          <w:rtl/>
        </w:rPr>
        <w:t xml:space="preserve">, מאשר גם הוא את המצב העגום אליו </w:t>
      </w:r>
      <w:r w:rsidR="00D92A73" w:rsidRPr="00F6782B">
        <w:rPr>
          <w:rtl/>
        </w:rPr>
        <w:t xml:space="preserve">מובילה </w:t>
      </w:r>
      <w:r w:rsidRPr="00F6782B">
        <w:rPr>
          <w:rtl/>
        </w:rPr>
        <w:t>המדינה את המשפחות ה</w:t>
      </w:r>
      <w:r>
        <w:rPr>
          <w:rtl/>
        </w:rPr>
        <w:t>חד-הורי</w:t>
      </w:r>
      <w:r w:rsidRPr="00F6782B">
        <w:rPr>
          <w:rtl/>
        </w:rPr>
        <w:t>ות: "הקריטריונים (לדיור ציבורי) אינם מאפשרים הבחנה המשקפת את מצוקת הפרט ובפועל אוכלוסייה המוגדרת לא זכא</w:t>
      </w:r>
      <w:r w:rsidRPr="00B14CF6">
        <w:rPr>
          <w:rtl/>
        </w:rPr>
        <w:t>ית עולה במכלול הקשיים על זו המוגדרת כזכאית", כך לפי לשון מסקנות ה</w:t>
      </w:r>
      <w:r w:rsidR="00D92A73">
        <w:rPr>
          <w:rFonts w:hint="cs"/>
          <w:rtl/>
        </w:rPr>
        <w:t>ו</w:t>
      </w:r>
      <w:r w:rsidRPr="00B14CF6">
        <w:rPr>
          <w:rtl/>
        </w:rPr>
        <w:t>ועדה.</w:t>
      </w:r>
    </w:p>
    <w:p w14:paraId="32F39C3D" w14:textId="77777777" w:rsidR="0058726E" w:rsidRPr="00B14CF6" w:rsidRDefault="0058726E" w:rsidP="0058726E">
      <w:pPr>
        <w:pStyle w:val="Hesber"/>
        <w:rPr>
          <w:rtl/>
        </w:rPr>
      </w:pPr>
      <w:r w:rsidRPr="00E422B5">
        <w:rPr>
          <w:rtl/>
        </w:rPr>
        <w:t xml:space="preserve">ישנו קושי ממשי עבור אימהות </w:t>
      </w:r>
      <w:r>
        <w:rPr>
          <w:rtl/>
        </w:rPr>
        <w:t>חד-הורי</w:t>
      </w:r>
      <w:r w:rsidRPr="00E422B5">
        <w:rPr>
          <w:rtl/>
        </w:rPr>
        <w:t xml:space="preserve">ות לשכור דירה בשוק הפרטי, </w:t>
      </w:r>
      <w:r>
        <w:rPr>
          <w:rFonts w:hint="cs"/>
          <w:rtl/>
        </w:rPr>
        <w:t>שכן הן</w:t>
      </w:r>
      <w:r w:rsidRPr="00F6782B">
        <w:rPr>
          <w:rtl/>
        </w:rPr>
        <w:t xml:space="preserve"> מתקשות למצוא בעלי דירות שיהיו מוכנים להשכיר </w:t>
      </w:r>
      <w:r>
        <w:rPr>
          <w:rFonts w:hint="cs"/>
          <w:rtl/>
        </w:rPr>
        <w:t>להן</w:t>
      </w:r>
      <w:r w:rsidRPr="00F6782B">
        <w:rPr>
          <w:rtl/>
        </w:rPr>
        <w:t xml:space="preserve"> את דירותיהם. בעלי דירות מעדיפים להשכיר למשפחות בעלות </w:t>
      </w:r>
      <w:r>
        <w:rPr>
          <w:rFonts w:hint="cs"/>
          <w:rtl/>
        </w:rPr>
        <w:t>שני</w:t>
      </w:r>
      <w:r w:rsidRPr="00F6782B">
        <w:rPr>
          <w:rtl/>
        </w:rPr>
        <w:t xml:space="preserve"> מקורות הכנסה</w:t>
      </w:r>
      <w:r>
        <w:rPr>
          <w:rFonts w:hint="cs"/>
          <w:rtl/>
        </w:rPr>
        <w:t xml:space="preserve">, </w:t>
      </w:r>
      <w:r w:rsidRPr="00F6782B">
        <w:rPr>
          <w:rtl/>
        </w:rPr>
        <w:t xml:space="preserve">בעיה </w:t>
      </w:r>
      <w:r>
        <w:rPr>
          <w:rFonts w:hint="cs"/>
          <w:rtl/>
        </w:rPr>
        <w:t>שבה</w:t>
      </w:r>
      <w:r w:rsidRPr="00F6782B">
        <w:rPr>
          <w:rtl/>
        </w:rPr>
        <w:t xml:space="preserve"> נתקלות גם </w:t>
      </w:r>
      <w:r>
        <w:rPr>
          <w:rFonts w:hint="cs"/>
          <w:rtl/>
        </w:rPr>
        <w:t>אימהות</w:t>
      </w:r>
      <w:r w:rsidRPr="00F6782B">
        <w:rPr>
          <w:rtl/>
        </w:rPr>
        <w:t xml:space="preserve"> </w:t>
      </w:r>
      <w:r>
        <w:rPr>
          <w:rtl/>
        </w:rPr>
        <w:t>חד-הורי</w:t>
      </w:r>
      <w:r w:rsidRPr="00F6782B">
        <w:rPr>
          <w:rtl/>
        </w:rPr>
        <w:t xml:space="preserve">ות שמצבן הכלכלי יציב והן מעל לקו </w:t>
      </w:r>
      <w:r>
        <w:rPr>
          <w:rFonts w:hint="cs"/>
          <w:rtl/>
        </w:rPr>
        <w:t>העוני ו</w:t>
      </w:r>
      <w:r w:rsidRPr="00F6782B">
        <w:rPr>
          <w:rtl/>
        </w:rPr>
        <w:t xml:space="preserve">כפועל יוצא הן נאלצות לשכור דירות לא ראויות למגורים, בשכונות קשות, כשהן עוברות מדירה לא ראויה אחת לאחרת וסובלות </w:t>
      </w:r>
      <w:r w:rsidRPr="00B14CF6">
        <w:rPr>
          <w:rtl/>
        </w:rPr>
        <w:t>מבריונות של בעלי דירות ואף סחיטות מיניות כתנאי לאי העלאת שכר הדירה, דבר שיגרור זריקתן וזריקת ילדיהן לרחוב.</w:t>
      </w:r>
    </w:p>
    <w:p w14:paraId="46BDAFC5" w14:textId="77777777" w:rsidR="0058726E" w:rsidRPr="00B14CF6" w:rsidRDefault="0058726E" w:rsidP="0058726E">
      <w:pPr>
        <w:pStyle w:val="Hesber"/>
        <w:rPr>
          <w:rtl/>
        </w:rPr>
      </w:pPr>
      <w:r w:rsidRPr="00E422B5">
        <w:rPr>
          <w:rtl/>
        </w:rPr>
        <w:t xml:space="preserve">המעברים התכופים בין הדירות מביאים לשבר כלכלי נוסף, ומעמיקים את מעגל החובות, כיוון שבשוק </w:t>
      </w:r>
      <w:r w:rsidRPr="00BC1CA9">
        <w:rPr>
          <w:rtl/>
        </w:rPr>
        <w:t>השכירות החופשי נדרשת האם ה</w:t>
      </w:r>
      <w:r>
        <w:rPr>
          <w:rtl/>
        </w:rPr>
        <w:t>חד-הורי</w:t>
      </w:r>
      <w:r w:rsidRPr="00BC1CA9">
        <w:rPr>
          <w:rtl/>
        </w:rPr>
        <w:t>ת לעמוד בהוצאות גבוהות הכרוכות במעבר הדירה, כמו חיבור לגז</w:t>
      </w:r>
      <w:r>
        <w:rPr>
          <w:rFonts w:hint="cs"/>
          <w:rtl/>
        </w:rPr>
        <w:t>,</w:t>
      </w:r>
      <w:r w:rsidRPr="00F6782B">
        <w:rPr>
          <w:rtl/>
        </w:rPr>
        <w:t xml:space="preserve"> לחשמל </w:t>
      </w:r>
      <w:r>
        <w:rPr>
          <w:rFonts w:hint="cs"/>
          <w:rtl/>
        </w:rPr>
        <w:t>ו</w:t>
      </w:r>
      <w:r w:rsidRPr="00F6782B">
        <w:rPr>
          <w:rtl/>
        </w:rPr>
        <w:t>למים ו</w:t>
      </w:r>
      <w:r>
        <w:rPr>
          <w:rFonts w:hint="cs"/>
          <w:rtl/>
        </w:rPr>
        <w:t xml:space="preserve">כן שירותי </w:t>
      </w:r>
      <w:r w:rsidRPr="00F6782B">
        <w:rPr>
          <w:rtl/>
        </w:rPr>
        <w:t xml:space="preserve">הובלה, וכתוצאה מהמעברים הריהוט נהרס ונשחק והן נשארות חסרות כל בכל פעם, וצריכות לגייס משאבים שאין </w:t>
      </w:r>
      <w:r>
        <w:rPr>
          <w:rFonts w:hint="cs"/>
          <w:rtl/>
        </w:rPr>
        <w:t>ב</w:t>
      </w:r>
      <w:r w:rsidRPr="00F6782B">
        <w:rPr>
          <w:rtl/>
        </w:rPr>
        <w:t xml:space="preserve">רשותן כדי לאפשר לילדים קורת גג ראויה. </w:t>
      </w:r>
    </w:p>
    <w:p w14:paraId="760CE9B6" w14:textId="77777777" w:rsidR="0058726E" w:rsidRPr="00BC1CA9" w:rsidRDefault="0058726E" w:rsidP="0058726E">
      <w:pPr>
        <w:pStyle w:val="Hesber"/>
        <w:rPr>
          <w:rtl/>
        </w:rPr>
      </w:pPr>
      <w:r w:rsidRPr="00B14CF6">
        <w:rPr>
          <w:rtl/>
        </w:rPr>
        <w:t>הסיוע בשכר הדירה אינו הולם את מחירי השכירות. הן אינן מקבלות סיוע "מוגדל" ונשים רבות מתקשות למצות אותו, כי כ</w:t>
      </w:r>
      <w:r>
        <w:rPr>
          <w:rFonts w:hint="cs"/>
          <w:rtl/>
        </w:rPr>
        <w:t>ש</w:t>
      </w:r>
      <w:r w:rsidRPr="00B14CF6">
        <w:rPr>
          <w:rtl/>
        </w:rPr>
        <w:t>הן באות לשכור דירה, ראשית הן נדרשות לשלם, ורק לאחר מכן בהצגת חוזה חתום יאושר הסי</w:t>
      </w:r>
      <w:r w:rsidRPr="00E422B5">
        <w:rPr>
          <w:rtl/>
        </w:rPr>
        <w:t xml:space="preserve">וע בשכר הדירה. בנוסף בשל הבירוקרטיה הכרוכה בחידוש הזכאות לעיתים נקטע רצף הזכאות ורק לאחר חודשים </w:t>
      </w:r>
      <w:r>
        <w:rPr>
          <w:rFonts w:hint="cs"/>
          <w:rtl/>
        </w:rPr>
        <w:t>מ</w:t>
      </w:r>
      <w:r w:rsidRPr="00E422B5">
        <w:rPr>
          <w:rtl/>
        </w:rPr>
        <w:t>חודש הסיוע.</w:t>
      </w:r>
    </w:p>
    <w:p w14:paraId="686EE074" w14:textId="77777777" w:rsidR="0058726E" w:rsidRPr="00B14CF6" w:rsidRDefault="0058726E" w:rsidP="0058726E">
      <w:pPr>
        <w:pStyle w:val="Hesber"/>
        <w:rPr>
          <w:rtl/>
        </w:rPr>
      </w:pPr>
      <w:r w:rsidRPr="00BC1CA9">
        <w:rPr>
          <w:rtl/>
        </w:rPr>
        <w:t xml:space="preserve">למעברים התכופים בין דירות רבות יש השפעה מכרעת על היכולת התעסוקתית של האישה, המצויה בחרדה יומיומית כי תמצא את עצמה ברחוב עם ילדיה. זו תתקשה לגייס את כוחות לעבוד, </w:t>
      </w:r>
      <w:r>
        <w:rPr>
          <w:rFonts w:hint="cs"/>
          <w:rtl/>
        </w:rPr>
        <w:t>בין היתר,</w:t>
      </w:r>
      <w:r w:rsidRPr="00F6782B">
        <w:rPr>
          <w:rtl/>
        </w:rPr>
        <w:t xml:space="preserve"> </w:t>
      </w:r>
      <w:r w:rsidRPr="00B14CF6">
        <w:rPr>
          <w:rtl/>
        </w:rPr>
        <w:t xml:space="preserve">בשל התרוצצויותיה בין הגורמים הבירוקרטיים, להשגת הסיוע להתמודדות עם הקשיים שצפים ועולים כתוצאה מהמחסור בדיור. גם כאשר תמצא האם היחידנית מקום תעסוקה, המעברים התכופים דורשים </w:t>
      </w:r>
      <w:r>
        <w:rPr>
          <w:rFonts w:hint="cs"/>
          <w:rtl/>
        </w:rPr>
        <w:t>ממנה</w:t>
      </w:r>
      <w:r w:rsidRPr="00F6782B">
        <w:rPr>
          <w:rtl/>
        </w:rPr>
        <w:t xml:space="preserve"> לעזוב את מקום העבודה בשל העתקת מקום המגורים למיקומים מרוחקים ממוקדי התעסוקה. </w:t>
      </w:r>
    </w:p>
    <w:p w14:paraId="00A5AD5E" w14:textId="333976C6" w:rsidR="0058726E" w:rsidRPr="00544AB0" w:rsidRDefault="0058726E" w:rsidP="00D92A73">
      <w:pPr>
        <w:pStyle w:val="Hesber"/>
        <w:rPr>
          <w:rtl/>
        </w:rPr>
      </w:pPr>
      <w:r w:rsidRPr="00B14CF6">
        <w:rPr>
          <w:rtl/>
        </w:rPr>
        <w:t>כמו כן, למעברים התכופים ולחוסר היציבות בקורת הגג יש השפעה גם על מצבם הרגשי</w:t>
      </w:r>
      <w:r>
        <w:rPr>
          <w:rFonts w:hint="cs"/>
          <w:rtl/>
        </w:rPr>
        <w:t>,</w:t>
      </w:r>
      <w:r w:rsidRPr="00B14CF6">
        <w:rPr>
          <w:rtl/>
        </w:rPr>
        <w:t xml:space="preserve"> הקוגניטיבי והבריאותי של הילדים ועל היכולת שלהם לגדול כראוי</w:t>
      </w:r>
      <w:r>
        <w:rPr>
          <w:rFonts w:hint="cs"/>
          <w:rtl/>
        </w:rPr>
        <w:t>.</w:t>
      </w:r>
      <w:r w:rsidRPr="00B14CF6">
        <w:rPr>
          <w:rtl/>
        </w:rPr>
        <w:t xml:space="preserve"> המעברים גוררים איתם גם מעברים בין מסגרות ח</w:t>
      </w:r>
      <w:r w:rsidRPr="00E422B5">
        <w:rPr>
          <w:rtl/>
        </w:rPr>
        <w:t xml:space="preserve">ינוכיות, שירותים סוציאליים ובריאותיים. מציאות זו מביאה לכך שאותו רצף טיפולי נקטע שוב ושוב. </w:t>
      </w:r>
      <w:r w:rsidRPr="00E422B5">
        <w:rPr>
          <w:rtl/>
        </w:rPr>
        <w:lastRenderedPageBreak/>
        <w:t>ילדים אלו מפתחים חוסר אמון, בעיות למידה, קשיים ביצירת קשרים חברתיים וטיפוליים, וכן חרדת נטישה. פועל יוצא של בעיות אלו הוא הוצאה ש</w:t>
      </w:r>
      <w:r w:rsidRPr="00BC1CA9">
        <w:rPr>
          <w:rtl/>
        </w:rPr>
        <w:t>ל ילדים אלו מבתיהם למוסדות ולמערכת החינוך הפנימייתי. כפי שניתן ללמוד מדו</w:t>
      </w:r>
      <w:r w:rsidRPr="00F6782B">
        <w:rPr>
          <w:rtl/>
        </w:rPr>
        <w:t>ח</w:t>
      </w:r>
      <w:r>
        <w:rPr>
          <w:rFonts w:hint="cs"/>
          <w:rtl/>
        </w:rPr>
        <w:t xml:space="preserve"> הוועדה למלחמה בעוני בישראל</w:t>
      </w:r>
      <w:r w:rsidR="00D92A73">
        <w:rPr>
          <w:rFonts w:hint="cs"/>
          <w:rtl/>
        </w:rPr>
        <w:t xml:space="preserve"> </w:t>
      </w:r>
      <w:r w:rsidR="000A27AD">
        <w:rPr>
          <w:rFonts w:hint="cs"/>
          <w:rtl/>
        </w:rPr>
        <w:t>(</w:t>
      </w:r>
      <w:r w:rsidR="00D92A73" w:rsidRPr="00F6782B">
        <w:rPr>
          <w:rtl/>
        </w:rPr>
        <w:t>ועדת אלאלוף</w:t>
      </w:r>
      <w:r w:rsidR="000A27AD">
        <w:rPr>
          <w:rFonts w:hint="cs"/>
          <w:rtl/>
        </w:rPr>
        <w:t>)</w:t>
      </w:r>
      <w:r>
        <w:rPr>
          <w:rFonts w:hint="cs"/>
          <w:rtl/>
        </w:rPr>
        <w:t>,</w:t>
      </w:r>
      <w:r w:rsidRPr="00F6782B">
        <w:rPr>
          <w:rtl/>
        </w:rPr>
        <w:t xml:space="preserve"> למעלה מ</w:t>
      </w:r>
      <w:r>
        <w:rPr>
          <w:rFonts w:hint="cs"/>
          <w:rtl/>
        </w:rPr>
        <w:t>-</w:t>
      </w:r>
      <w:r w:rsidRPr="00F6782B">
        <w:rPr>
          <w:rtl/>
        </w:rPr>
        <w:t xml:space="preserve">40% מהילדים בחינוך הפנימייתי הם ילדים למשפחות </w:t>
      </w:r>
      <w:r>
        <w:rPr>
          <w:rtl/>
        </w:rPr>
        <w:t>חד-הורי</w:t>
      </w:r>
      <w:r w:rsidRPr="00F6782B">
        <w:rPr>
          <w:rtl/>
        </w:rPr>
        <w:t>ות</w:t>
      </w:r>
      <w:r>
        <w:rPr>
          <w:rFonts w:hint="cs"/>
          <w:rtl/>
        </w:rPr>
        <w:t>,</w:t>
      </w:r>
      <w:r w:rsidRPr="00544AB0">
        <w:rPr>
          <w:rFonts w:hint="cs"/>
          <w:rtl/>
        </w:rPr>
        <w:t xml:space="preserve"> ובנוסף לכל חווית התלישות וחוסר היציבות נוסף הניתוק מהתא המשפחתי.</w:t>
      </w:r>
    </w:p>
    <w:p w14:paraId="6EF89FD9" w14:textId="1E112DCE" w:rsidR="0058726E" w:rsidRDefault="0058726E" w:rsidP="00DC2F3E">
      <w:pPr>
        <w:pStyle w:val="Hesber"/>
        <w:rPr>
          <w:rtl/>
        </w:rPr>
      </w:pPr>
      <w:r w:rsidRPr="00E54F85">
        <w:rPr>
          <w:rFonts w:hint="cs"/>
          <w:rtl/>
        </w:rPr>
        <w:t xml:space="preserve">מוצע לקבוע כי לא תישלל זכאותן של אימהות </w:t>
      </w:r>
      <w:r>
        <w:rPr>
          <w:rFonts w:hint="cs"/>
          <w:rtl/>
        </w:rPr>
        <w:t>חד-הורי</w:t>
      </w:r>
      <w:r w:rsidRPr="00E54F85">
        <w:rPr>
          <w:rFonts w:hint="cs"/>
          <w:rtl/>
        </w:rPr>
        <w:t>ות</w:t>
      </w:r>
      <w:r>
        <w:rPr>
          <w:rFonts w:hint="cs"/>
          <w:rtl/>
        </w:rPr>
        <w:t xml:space="preserve"> </w:t>
      </w:r>
      <w:r w:rsidRPr="00E54F85">
        <w:rPr>
          <w:rFonts w:hint="cs"/>
          <w:rtl/>
        </w:rPr>
        <w:t>ומשפחותיהן לדי</w:t>
      </w:r>
      <w:r w:rsidRPr="00480F0D">
        <w:rPr>
          <w:rFonts w:hint="cs"/>
          <w:rtl/>
        </w:rPr>
        <w:t xml:space="preserve">ור ציבורי בשל </w:t>
      </w:r>
      <w:r w:rsidR="00283941">
        <w:rPr>
          <w:rFonts w:hint="cs"/>
          <w:rtl/>
        </w:rPr>
        <w:t xml:space="preserve">קבלת תשלום מזונות מהמוסד לביטוח לאומי לפי חוק המזונות, אף שבשל </w:t>
      </w:r>
      <w:r w:rsidR="00FF2267">
        <w:rPr>
          <w:rFonts w:hint="cs"/>
          <w:rtl/>
        </w:rPr>
        <w:t>תשלום מזונות כאמור</w:t>
      </w:r>
      <w:r w:rsidR="00283941">
        <w:rPr>
          <w:rFonts w:hint="cs"/>
          <w:rtl/>
        </w:rPr>
        <w:t xml:space="preserve"> אין הן זכאיות להשלמת הכנסה או הבטחת הכנסה. </w:t>
      </w:r>
    </w:p>
    <w:p w14:paraId="342A979B" w14:textId="3F6405B2" w:rsidR="00283941" w:rsidRDefault="00283941" w:rsidP="00283941">
      <w:pPr>
        <w:pStyle w:val="Hesber"/>
        <w:rPr>
          <w:rtl/>
        </w:rPr>
      </w:pPr>
      <w:r>
        <w:rPr>
          <w:rFonts w:hint="cs"/>
          <w:rtl/>
        </w:rPr>
        <w:t>הצעות חוק זהות הונחו על שולחן הכנסת העשרים על ידי חברת הכנסת אורלי לוי אבקסיס וקבוצת חברי הכנסת (פ/</w:t>
      </w:r>
      <w:r w:rsidR="00EC2113">
        <w:rPr>
          <w:rFonts w:hint="cs"/>
          <w:rtl/>
        </w:rPr>
        <w:t>4861/20) ועל ידי חברת הכנסת עאידה תומא סולימאן וקבוצת חברי הכנסת (פ/5132/20).</w:t>
      </w:r>
    </w:p>
    <w:p w14:paraId="7B3B6570" w14:textId="62F04CE3" w:rsidR="00EC2113" w:rsidRDefault="00EC2113" w:rsidP="00283941">
      <w:pPr>
        <w:pStyle w:val="Hesber"/>
        <w:rPr>
          <w:rtl/>
        </w:rPr>
      </w:pPr>
      <w:r>
        <w:rPr>
          <w:rFonts w:hint="cs"/>
          <w:rtl/>
        </w:rPr>
        <w:t>הצעת חוק דומה בעיקרה הונחה על שולחן הכנסת העשרים על ידי חברת הכנסת קארין אלהרר (פ/4893/20).</w:t>
      </w:r>
    </w:p>
    <w:p w14:paraId="7EBF94C3" w14:textId="77777777" w:rsidR="005D5C3D" w:rsidRDefault="005D5C3D" w:rsidP="00283941">
      <w:pPr>
        <w:pStyle w:val="Hesber"/>
        <w:rPr>
          <w:rtl/>
        </w:rPr>
      </w:pPr>
    </w:p>
    <w:p w14:paraId="16BB03DD" w14:textId="77777777" w:rsidR="005D5C3D" w:rsidRDefault="005D5C3D" w:rsidP="00283941">
      <w:pPr>
        <w:pStyle w:val="Hesber"/>
        <w:rPr>
          <w:rtl/>
        </w:rPr>
      </w:pPr>
    </w:p>
    <w:p w14:paraId="70B8BD4D" w14:textId="77777777" w:rsidR="005D5C3D" w:rsidRPr="00D73212" w:rsidRDefault="005D5C3D" w:rsidP="005D5C3D">
      <w:pPr>
        <w:pStyle w:val="Hesber"/>
        <w:rPr>
          <w:color w:val="auto"/>
          <w:rtl/>
          <w:lang w:eastAsia="en-US"/>
        </w:rPr>
      </w:pPr>
      <w:r w:rsidRPr="00D73212">
        <w:rPr>
          <w:color w:val="auto"/>
          <w:rtl/>
          <w:lang w:eastAsia="en-US"/>
        </w:rPr>
        <w:t>---------------------------------</w:t>
      </w:r>
    </w:p>
    <w:p w14:paraId="7A431B0B" w14:textId="77777777" w:rsidR="005D5C3D" w:rsidRPr="00D73212" w:rsidRDefault="005D5C3D" w:rsidP="005D5C3D">
      <w:pPr>
        <w:pStyle w:val="Hesber"/>
        <w:rPr>
          <w:color w:val="auto"/>
          <w:rtl/>
          <w:lang w:eastAsia="en-US"/>
        </w:rPr>
      </w:pPr>
      <w:r w:rsidRPr="00D73212">
        <w:rPr>
          <w:rFonts w:hint="cs"/>
          <w:color w:val="auto"/>
          <w:rtl/>
          <w:lang w:eastAsia="en-US"/>
        </w:rPr>
        <w:t>הוגשה</w:t>
      </w:r>
      <w:r w:rsidRPr="00D73212">
        <w:rPr>
          <w:color w:val="auto"/>
          <w:rtl/>
          <w:lang w:eastAsia="en-US"/>
        </w:rPr>
        <w:t xml:space="preserve"> </w:t>
      </w:r>
      <w:r w:rsidRPr="00D73212">
        <w:rPr>
          <w:rFonts w:hint="cs"/>
          <w:color w:val="auto"/>
          <w:rtl/>
          <w:lang w:eastAsia="en-US"/>
        </w:rPr>
        <w:t>ליו</w:t>
      </w:r>
      <w:r w:rsidRPr="00D73212">
        <w:rPr>
          <w:color w:val="auto"/>
          <w:rtl/>
          <w:lang w:eastAsia="en-US"/>
        </w:rPr>
        <w:t>"</w:t>
      </w:r>
      <w:r w:rsidRPr="00D73212">
        <w:rPr>
          <w:rFonts w:hint="cs"/>
          <w:color w:val="auto"/>
          <w:rtl/>
          <w:lang w:eastAsia="en-US"/>
        </w:rPr>
        <w:t>ר</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והסגנים</w:t>
      </w:r>
    </w:p>
    <w:p w14:paraId="7B7180BC" w14:textId="77777777" w:rsidR="005D5C3D" w:rsidRPr="00D73212" w:rsidRDefault="005D5C3D" w:rsidP="005D5C3D">
      <w:pPr>
        <w:pStyle w:val="Hesber"/>
        <w:rPr>
          <w:color w:val="auto"/>
          <w:rtl/>
          <w:lang w:eastAsia="en-US"/>
        </w:rPr>
      </w:pPr>
      <w:r w:rsidRPr="00D73212">
        <w:rPr>
          <w:rFonts w:hint="cs"/>
          <w:color w:val="auto"/>
          <w:rtl/>
          <w:lang w:eastAsia="en-US"/>
        </w:rPr>
        <w:t>והונחה</w:t>
      </w:r>
      <w:r w:rsidRPr="00D73212">
        <w:rPr>
          <w:color w:val="auto"/>
          <w:rtl/>
          <w:lang w:eastAsia="en-US"/>
        </w:rPr>
        <w:t xml:space="preserve"> </w:t>
      </w:r>
      <w:r w:rsidRPr="00D73212">
        <w:rPr>
          <w:rFonts w:hint="cs"/>
          <w:color w:val="auto"/>
          <w:rtl/>
          <w:lang w:eastAsia="en-US"/>
        </w:rPr>
        <w:t>על</w:t>
      </w:r>
      <w:r w:rsidRPr="00D73212">
        <w:rPr>
          <w:color w:val="auto"/>
          <w:rtl/>
          <w:lang w:eastAsia="en-US"/>
        </w:rPr>
        <w:t xml:space="preserve"> </w:t>
      </w:r>
      <w:r w:rsidRPr="00D73212">
        <w:rPr>
          <w:rFonts w:hint="cs"/>
          <w:color w:val="auto"/>
          <w:rtl/>
          <w:lang w:eastAsia="en-US"/>
        </w:rPr>
        <w:t>שולחן</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ביום</w:t>
      </w:r>
    </w:p>
    <w:p w14:paraId="4C64A35C" w14:textId="77777777" w:rsidR="005D5C3D" w:rsidRPr="00317312" w:rsidRDefault="005D5C3D" w:rsidP="005D5C3D">
      <w:pPr>
        <w:pStyle w:val="Hesber"/>
      </w:pPr>
      <w:r>
        <w:rPr>
          <w:rFonts w:hint="cs"/>
          <w:color w:val="auto"/>
          <w:rtl/>
          <w:lang w:eastAsia="en-US"/>
        </w:rPr>
        <w:t>ט"ו באייר</w:t>
      </w:r>
      <w:r w:rsidRPr="00D73212">
        <w:rPr>
          <w:color w:val="auto"/>
          <w:rtl/>
          <w:lang w:eastAsia="en-US"/>
        </w:rPr>
        <w:t xml:space="preserve"> </w:t>
      </w:r>
      <w:r w:rsidRPr="00D73212">
        <w:rPr>
          <w:rFonts w:hint="cs"/>
          <w:color w:val="auto"/>
          <w:rtl/>
          <w:lang w:eastAsia="en-US"/>
        </w:rPr>
        <w:t>התשע</w:t>
      </w:r>
      <w:r w:rsidRPr="00D73212">
        <w:rPr>
          <w:color w:val="auto"/>
          <w:rtl/>
          <w:lang w:eastAsia="en-US"/>
        </w:rPr>
        <w:t>"</w:t>
      </w:r>
      <w:r>
        <w:rPr>
          <w:rFonts w:hint="cs"/>
          <w:color w:val="auto"/>
          <w:rtl/>
          <w:lang w:eastAsia="en-US"/>
        </w:rPr>
        <w:t xml:space="preserve">ט </w:t>
      </w:r>
      <w:r w:rsidRPr="00D73212">
        <w:rPr>
          <w:color w:val="auto"/>
          <w:rtl/>
          <w:lang w:eastAsia="en-US"/>
        </w:rPr>
        <w:t>–</w:t>
      </w:r>
      <w:r>
        <w:rPr>
          <w:rFonts w:hint="cs"/>
          <w:color w:val="auto"/>
          <w:rtl/>
          <w:lang w:eastAsia="en-US"/>
        </w:rPr>
        <w:t xml:space="preserve"> 20.5</w:t>
      </w:r>
      <w:r w:rsidRPr="00D73212">
        <w:rPr>
          <w:color w:val="auto"/>
          <w:rtl/>
          <w:lang w:eastAsia="en-US"/>
        </w:rPr>
        <w:t>.</w:t>
      </w:r>
      <w:r>
        <w:rPr>
          <w:rFonts w:hint="cs"/>
          <w:color w:val="auto"/>
          <w:rtl/>
          <w:lang w:eastAsia="en-US"/>
        </w:rPr>
        <w:t xml:space="preserve">19  </w:t>
      </w:r>
    </w:p>
    <w:p w14:paraId="1F8FF50D" w14:textId="77777777" w:rsidR="005D5C3D" w:rsidRPr="005D5C3D" w:rsidRDefault="005D5C3D" w:rsidP="00283941">
      <w:pPr>
        <w:pStyle w:val="Hesber"/>
        <w:rPr>
          <w:rtl/>
        </w:rPr>
      </w:pPr>
    </w:p>
    <w:p w14:paraId="7F6961CB" w14:textId="77777777" w:rsidR="00E13C27" w:rsidRDefault="00E13C27" w:rsidP="00E13C27">
      <w:pPr>
        <w:pStyle w:val="Hesber"/>
        <w:rPr>
          <w:rtl/>
        </w:rPr>
      </w:pPr>
    </w:p>
    <w:sectPr w:rsidR="00E13C27"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5D5C3D">
      <w:rPr>
        <w:rStyle w:val="ab"/>
        <w:noProof/>
        <w:rtl/>
      </w:rPr>
      <w:t>3</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636E8EE9" w14:textId="77777777" w:rsidR="0058726E" w:rsidRDefault="0058726E" w:rsidP="0058726E">
      <w:pPr>
        <w:pStyle w:val="a4"/>
      </w:pPr>
      <w:r>
        <w:rPr>
          <w:rStyle w:val="a6"/>
        </w:rPr>
        <w:footnoteRef/>
      </w:r>
      <w:r>
        <w:rPr>
          <w:rtl/>
        </w:rPr>
        <w:t xml:space="preserve"> </w:t>
      </w:r>
      <w:r>
        <w:rPr>
          <w:rFonts w:hint="cs"/>
          <w:rtl/>
        </w:rPr>
        <w:t>ס"ח התשנ"ח, עמ' 278.</w:t>
      </w:r>
    </w:p>
  </w:footnote>
  <w:footnote w:id="3">
    <w:p w14:paraId="236D6C18" w14:textId="77777777" w:rsidR="0058726E" w:rsidRDefault="0058726E" w:rsidP="0058726E">
      <w:pPr>
        <w:pStyle w:val="a4"/>
        <w:rPr>
          <w:rtl/>
        </w:rPr>
      </w:pPr>
      <w:r>
        <w:rPr>
          <w:rStyle w:val="a6"/>
        </w:rPr>
        <w:footnoteRef/>
      </w:r>
      <w:r>
        <w:rPr>
          <w:rtl/>
        </w:rPr>
        <w:t xml:space="preserve"> </w:t>
      </w:r>
      <w:r>
        <w:rPr>
          <w:rFonts w:hint="cs"/>
          <w:rtl/>
        </w:rPr>
        <w:t>ס"ח התשל"ב, עמ' 87.</w:t>
      </w:r>
    </w:p>
  </w:footnote>
  <w:footnote w:id="4">
    <w:p w14:paraId="37D89A54" w14:textId="77777777" w:rsidR="0058726E" w:rsidRDefault="0058726E" w:rsidP="0058726E">
      <w:pPr>
        <w:pStyle w:val="a4"/>
        <w:rPr>
          <w:rtl/>
        </w:rPr>
      </w:pPr>
      <w:r>
        <w:rPr>
          <w:rStyle w:val="a6"/>
        </w:rPr>
        <w:footnoteRef/>
      </w:r>
      <w:r>
        <w:rPr>
          <w:rtl/>
        </w:rPr>
        <w:t xml:space="preserve"> </w:t>
      </w:r>
      <w:r>
        <w:rPr>
          <w:rFonts w:hint="cs"/>
          <w:rtl/>
        </w:rPr>
        <w:t>ס"ח התשמ"א, עמ' 30.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27AD"/>
    <w:rsid w:val="000A542E"/>
    <w:rsid w:val="000C17EF"/>
    <w:rsid w:val="00102B6B"/>
    <w:rsid w:val="001052D4"/>
    <w:rsid w:val="0010644B"/>
    <w:rsid w:val="001207F8"/>
    <w:rsid w:val="00121924"/>
    <w:rsid w:val="001279A8"/>
    <w:rsid w:val="0014195F"/>
    <w:rsid w:val="00152609"/>
    <w:rsid w:val="00153E1B"/>
    <w:rsid w:val="00161E3E"/>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83941"/>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8726E"/>
    <w:rsid w:val="005B064E"/>
    <w:rsid w:val="005D51AE"/>
    <w:rsid w:val="005D5C3D"/>
    <w:rsid w:val="0062674B"/>
    <w:rsid w:val="006363B2"/>
    <w:rsid w:val="00644940"/>
    <w:rsid w:val="006818A9"/>
    <w:rsid w:val="00685B8F"/>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30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9176A"/>
    <w:rsid w:val="00CF1AA2"/>
    <w:rsid w:val="00D142D3"/>
    <w:rsid w:val="00D17774"/>
    <w:rsid w:val="00D63620"/>
    <w:rsid w:val="00D8410D"/>
    <w:rsid w:val="00D867D7"/>
    <w:rsid w:val="00D92A73"/>
    <w:rsid w:val="00DB7060"/>
    <w:rsid w:val="00DC2F3E"/>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C2113"/>
    <w:rsid w:val="00ED4A6F"/>
    <w:rsid w:val="00EF3A3A"/>
    <w:rsid w:val="00F628D6"/>
    <w:rsid w:val="00F67051"/>
    <w:rsid w:val="00F86A1E"/>
    <w:rsid w:val="00FA5E88"/>
    <w:rsid w:val="00FF226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59E533EF-6B91-4355-874C-A04302F30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aliases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rsid w:val="0058726E"/>
    <w:rPr>
      <w:rFonts w:ascii="Arial" w:eastAsia="Arial Unicode MS" w:hAnsi="Arial" w:cs="David"/>
      <w:snapToGrid w:val="0"/>
      <w:color w:val="000000"/>
      <w:sz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מסמך" ma:contentTypeID="0x010100697467741CB98040970A6DBBC195775F" ma:contentTypeVersion="" ma:contentTypeDescription="צור מסמך חדש." ma:contentTypeScope="" ma:versionID="6e55fc6acbead604c2f45a2c1dd20751">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2.xml><?xml version="1.0" encoding="utf-8"?>
<ds:datastoreItem xmlns:ds="http://schemas.openxmlformats.org/officeDocument/2006/customXml" ds:itemID="{88F4AFE3-9455-419C-8851-785A55F4451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F8161CAA-40D9-40AC-90F3-EE98BB95A3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166DB76-DFE5-43FD-BBCC-D85EA2327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3</Pages>
  <Words>913</Words>
  <Characters>4570</Characters>
  <Application>Microsoft Office Word</Application>
  <DocSecurity>0</DocSecurity>
  <Lines>38</Lines>
  <Paragraphs>10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5473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7</cp:revision>
  <cp:lastPrinted>2019-05-19T07:33:00Z</cp:lastPrinted>
  <dcterms:created xsi:type="dcterms:W3CDTF">2015-04-20T09:58:00Z</dcterms:created>
  <dcterms:modified xsi:type="dcterms:W3CDTF">2019-05-19T07:33:00Z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0x010100697467741CB98040970A6DBBC195775F</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2078665</vt:r8>
  </property>
</Properties>
</file>