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2078651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1B8C9CC6" w:rsidR="00E13C27" w:rsidRPr="00E06736" w:rsidRDefault="00904591" w:rsidP="00904591">
      <w:pPr>
        <w:pStyle w:val="David"/>
        <w:spacing w:line="240" w:lineRule="auto"/>
        <w:ind w:left="3544"/>
        <w:rPr>
          <w:rtl/>
        </w:rPr>
      </w:pPr>
      <w:r>
        <w:t xml:space="preserve">            </w:t>
      </w:r>
      <w:r>
        <w:t xml:space="preserve">                                </w:t>
      </w:r>
      <w:r w:rsidR="008F1308">
        <w:t xml:space="preserve"> </w:t>
      </w:r>
      <w:bookmarkStart w:id="6" w:name="Private_Number"/>
      <w:r w:rsidR="000455E3">
        <w:rPr>
          <w:rtl/>
        </w:rPr>
        <w:tab/>
      </w:r>
      <w:r>
        <w:rPr>
          <w:rFonts w:hint="cs"/>
          <w:rtl/>
        </w:rPr>
        <w:t>פ/19/21</w:t>
      </w:r>
      <w:bookmarkEnd w:id="6"/>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הפעלת תחבורה ציבורית ביום המנוחה השבועי, התשע"ט–2019</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B30641" w14:paraId="035EEF3D" w14:textId="77777777" w:rsidTr="001101BF">
        <w:trPr>
          <w:cantSplit/>
        </w:trPr>
        <w:tc>
          <w:tcPr>
            <w:tcW w:w="1871" w:type="dxa"/>
          </w:tcPr>
          <w:p w14:paraId="22262203" w14:textId="049B52A2" w:rsidR="00B30641" w:rsidRDefault="00B30641" w:rsidP="00B30641">
            <w:pPr>
              <w:pStyle w:val="TableSideHeading"/>
              <w:keepLines w:val="0"/>
            </w:pPr>
            <w:r w:rsidRPr="00EE7DA6">
              <w:rPr>
                <w:sz w:val="26"/>
                <w:rtl/>
              </w:rPr>
              <w:t>הגדרות</w:t>
            </w:r>
          </w:p>
        </w:tc>
        <w:tc>
          <w:tcPr>
            <w:tcW w:w="624" w:type="dxa"/>
          </w:tcPr>
          <w:p w14:paraId="2BF39C71" w14:textId="55BDB364" w:rsidR="00B30641" w:rsidRPr="001101BF" w:rsidRDefault="00B30641" w:rsidP="001101BF">
            <w:pPr>
              <w:pStyle w:val="TableText"/>
              <w:jc w:val="both"/>
            </w:pPr>
            <w:r w:rsidRPr="001101BF">
              <w:rPr>
                <w:rtl/>
              </w:rPr>
              <w:t>1.</w:t>
            </w:r>
          </w:p>
        </w:tc>
        <w:tc>
          <w:tcPr>
            <w:tcW w:w="7143" w:type="dxa"/>
          </w:tcPr>
          <w:p w14:paraId="3BC55C3D" w14:textId="6997F96A" w:rsidR="00B30641" w:rsidRPr="001101BF" w:rsidRDefault="00B30641" w:rsidP="001101BF">
            <w:pPr>
              <w:pStyle w:val="TableBlock"/>
            </w:pPr>
            <w:r w:rsidRPr="001101BF">
              <w:rPr>
                <w:rtl/>
              </w:rPr>
              <w:t>בחוק זה –</w:t>
            </w:r>
          </w:p>
        </w:tc>
      </w:tr>
      <w:tr w:rsidR="00B30641" w14:paraId="3D9B61D1" w14:textId="77777777" w:rsidTr="001101BF">
        <w:trPr>
          <w:cantSplit/>
        </w:trPr>
        <w:tc>
          <w:tcPr>
            <w:tcW w:w="1871" w:type="dxa"/>
          </w:tcPr>
          <w:p w14:paraId="7BD0DB75" w14:textId="77777777" w:rsidR="00B30641" w:rsidRDefault="00B30641" w:rsidP="00B30641">
            <w:pPr>
              <w:pStyle w:val="TableSideHeading"/>
              <w:keepLines w:val="0"/>
            </w:pPr>
          </w:p>
        </w:tc>
        <w:tc>
          <w:tcPr>
            <w:tcW w:w="624" w:type="dxa"/>
          </w:tcPr>
          <w:p w14:paraId="16801610" w14:textId="77777777" w:rsidR="00B30641" w:rsidRPr="001101BF" w:rsidRDefault="00B30641" w:rsidP="001101BF">
            <w:pPr>
              <w:pStyle w:val="TableText"/>
              <w:jc w:val="both"/>
            </w:pPr>
          </w:p>
        </w:tc>
        <w:tc>
          <w:tcPr>
            <w:tcW w:w="7143" w:type="dxa"/>
          </w:tcPr>
          <w:p w14:paraId="4ADB0F58" w14:textId="06483B8A" w:rsidR="00B30641" w:rsidRPr="001101BF" w:rsidRDefault="00B30641" w:rsidP="000455E3">
            <w:pPr>
              <w:pStyle w:val="TableBlockOutdent"/>
            </w:pPr>
            <w:r w:rsidRPr="001101BF">
              <w:rPr>
                <w:rtl/>
              </w:rPr>
              <w:t>"יום המנוחה השבועי" – פרק זמן אשר מתחיל עם שקיעת החמה ביום שישי ומסתיים עם שקיעת החמה ביום שבת;</w:t>
            </w:r>
          </w:p>
        </w:tc>
      </w:tr>
      <w:tr w:rsidR="00B30641" w14:paraId="1F0ABEFC" w14:textId="77777777" w:rsidTr="001101BF">
        <w:trPr>
          <w:cantSplit/>
        </w:trPr>
        <w:tc>
          <w:tcPr>
            <w:tcW w:w="1871" w:type="dxa"/>
          </w:tcPr>
          <w:p w14:paraId="61310F24" w14:textId="77777777" w:rsidR="00B30641" w:rsidRDefault="00B30641" w:rsidP="00B30641">
            <w:pPr>
              <w:pStyle w:val="TableSideHeading"/>
              <w:keepLines w:val="0"/>
            </w:pPr>
          </w:p>
        </w:tc>
        <w:tc>
          <w:tcPr>
            <w:tcW w:w="624" w:type="dxa"/>
          </w:tcPr>
          <w:p w14:paraId="321EC267" w14:textId="77777777" w:rsidR="00B30641" w:rsidRPr="001101BF" w:rsidRDefault="00B30641" w:rsidP="001101BF">
            <w:pPr>
              <w:pStyle w:val="TableText"/>
              <w:jc w:val="both"/>
            </w:pPr>
          </w:p>
        </w:tc>
        <w:tc>
          <w:tcPr>
            <w:tcW w:w="7143" w:type="dxa"/>
          </w:tcPr>
          <w:p w14:paraId="6114B997" w14:textId="37106F82" w:rsidR="00B30641" w:rsidRPr="001101BF" w:rsidRDefault="00B30641" w:rsidP="000455E3">
            <w:pPr>
              <w:pStyle w:val="TableBlockOutdent"/>
              <w:rPr>
                <w:rtl/>
              </w:rPr>
            </w:pPr>
            <w:r w:rsidRPr="001101BF">
              <w:rPr>
                <w:rtl/>
              </w:rPr>
              <w:t>"קו שירות" – כהגדרתו בפקודת התעבורה</w:t>
            </w:r>
            <w:r w:rsidRPr="001101BF">
              <w:rPr>
                <w:rFonts w:ascii="David" w:hAnsi="David"/>
                <w:sz w:val="26"/>
                <w:vertAlign w:val="superscript"/>
              </w:rPr>
              <w:footnoteReference w:id="2"/>
            </w:r>
            <w:r w:rsidRPr="001101BF">
              <w:rPr>
                <w:rtl/>
              </w:rPr>
              <w:t xml:space="preserve"> (להלן – הפקודה);</w:t>
            </w:r>
          </w:p>
        </w:tc>
      </w:tr>
      <w:tr w:rsidR="00B30641" w14:paraId="1A2868AB" w14:textId="77777777" w:rsidTr="001101BF">
        <w:trPr>
          <w:cantSplit/>
        </w:trPr>
        <w:tc>
          <w:tcPr>
            <w:tcW w:w="1871" w:type="dxa"/>
          </w:tcPr>
          <w:p w14:paraId="15896DCE" w14:textId="77777777" w:rsidR="00B30641" w:rsidRDefault="00B30641" w:rsidP="00B30641">
            <w:pPr>
              <w:pStyle w:val="TableSideHeading"/>
              <w:keepLines w:val="0"/>
            </w:pPr>
          </w:p>
        </w:tc>
        <w:tc>
          <w:tcPr>
            <w:tcW w:w="624" w:type="dxa"/>
          </w:tcPr>
          <w:p w14:paraId="544623BE" w14:textId="77777777" w:rsidR="00B30641" w:rsidRPr="001101BF" w:rsidRDefault="00B30641" w:rsidP="001101BF">
            <w:pPr>
              <w:pStyle w:val="TableText"/>
              <w:jc w:val="both"/>
            </w:pPr>
          </w:p>
        </w:tc>
        <w:tc>
          <w:tcPr>
            <w:tcW w:w="7143" w:type="dxa"/>
          </w:tcPr>
          <w:p w14:paraId="21D61ACC" w14:textId="1B443334" w:rsidR="00B30641" w:rsidRPr="001101BF" w:rsidRDefault="00B30641" w:rsidP="000455E3">
            <w:pPr>
              <w:pStyle w:val="TableBlockOutdent"/>
              <w:rPr>
                <w:rtl/>
              </w:rPr>
            </w:pPr>
            <w:r w:rsidRPr="001101BF">
              <w:rPr>
                <w:rtl/>
              </w:rPr>
              <w:t xml:space="preserve">"שירותי תחבורה ציבורית" – כהגדרתם בסעיף 77א(א) לפקודה.  </w:t>
            </w:r>
          </w:p>
        </w:tc>
      </w:tr>
      <w:tr w:rsidR="00B30641" w14:paraId="77E4BD44" w14:textId="77777777" w:rsidTr="001101BF">
        <w:trPr>
          <w:cantSplit/>
        </w:trPr>
        <w:tc>
          <w:tcPr>
            <w:tcW w:w="1871" w:type="dxa"/>
          </w:tcPr>
          <w:p w14:paraId="44D46EBC" w14:textId="1D3DD167" w:rsidR="00B30641" w:rsidRDefault="00B30641" w:rsidP="00B30641">
            <w:pPr>
              <w:pStyle w:val="TableSideHeading"/>
              <w:keepLines w:val="0"/>
            </w:pPr>
            <w:r w:rsidRPr="00EE7DA6">
              <w:rPr>
                <w:sz w:val="26"/>
                <w:rtl/>
              </w:rPr>
              <w:t>הפעלת תחבורה ציבורית ביום המנוחה השבועי</w:t>
            </w:r>
          </w:p>
        </w:tc>
        <w:tc>
          <w:tcPr>
            <w:tcW w:w="624" w:type="dxa"/>
          </w:tcPr>
          <w:p w14:paraId="24A8F9F7" w14:textId="679729AB" w:rsidR="00B30641" w:rsidRPr="001101BF" w:rsidRDefault="00B30641" w:rsidP="001101BF">
            <w:pPr>
              <w:pStyle w:val="TableText"/>
              <w:jc w:val="both"/>
            </w:pPr>
            <w:r w:rsidRPr="001101BF">
              <w:rPr>
                <w:rtl/>
              </w:rPr>
              <w:t>2.</w:t>
            </w:r>
          </w:p>
        </w:tc>
        <w:tc>
          <w:tcPr>
            <w:tcW w:w="7143" w:type="dxa"/>
          </w:tcPr>
          <w:p w14:paraId="018A4024" w14:textId="2D266960" w:rsidR="00B30641" w:rsidRPr="001101BF" w:rsidRDefault="00B30641" w:rsidP="001101BF">
            <w:pPr>
              <w:pStyle w:val="TableBlock"/>
              <w:rPr>
                <w:rtl/>
              </w:rPr>
            </w:pPr>
            <w:r w:rsidRPr="001101BF">
              <w:rPr>
                <w:rtl/>
              </w:rPr>
              <w:t>על אף האמור בכל דין או הסכם, שירותי התחבורה הציבורית יופעלו גם ביום המנוחה השבועי.</w:t>
            </w:r>
          </w:p>
        </w:tc>
      </w:tr>
      <w:tr w:rsidR="00B30641" w14:paraId="2F5BD19D" w14:textId="77777777" w:rsidTr="001101BF">
        <w:trPr>
          <w:cantSplit/>
        </w:trPr>
        <w:tc>
          <w:tcPr>
            <w:tcW w:w="1871" w:type="dxa"/>
          </w:tcPr>
          <w:p w14:paraId="07E9A5C5" w14:textId="70853A3E" w:rsidR="00B30641" w:rsidRPr="00EE7DA6" w:rsidRDefault="00B30641" w:rsidP="00B30641">
            <w:pPr>
              <w:pStyle w:val="TableSideHeading"/>
              <w:keepLines w:val="0"/>
              <w:rPr>
                <w:sz w:val="26"/>
                <w:rtl/>
              </w:rPr>
            </w:pPr>
            <w:r w:rsidRPr="00EE7DA6">
              <w:rPr>
                <w:sz w:val="26"/>
                <w:rtl/>
              </w:rPr>
              <w:t>מקרים חריגים</w:t>
            </w:r>
          </w:p>
        </w:tc>
        <w:tc>
          <w:tcPr>
            <w:tcW w:w="624" w:type="dxa"/>
          </w:tcPr>
          <w:p w14:paraId="29893CED" w14:textId="42183DEE" w:rsidR="00B30641" w:rsidRPr="001101BF" w:rsidRDefault="00B30641" w:rsidP="001101BF">
            <w:pPr>
              <w:pStyle w:val="TableText"/>
              <w:jc w:val="both"/>
              <w:rPr>
                <w:rtl/>
              </w:rPr>
            </w:pPr>
            <w:r w:rsidRPr="001101BF">
              <w:rPr>
                <w:rtl/>
              </w:rPr>
              <w:t>3.</w:t>
            </w:r>
          </w:p>
        </w:tc>
        <w:tc>
          <w:tcPr>
            <w:tcW w:w="7143" w:type="dxa"/>
          </w:tcPr>
          <w:p w14:paraId="10F31915" w14:textId="370CB265" w:rsidR="00B30641" w:rsidRPr="001101BF" w:rsidRDefault="00B30641" w:rsidP="001101BF">
            <w:pPr>
              <w:pStyle w:val="TableBlock"/>
              <w:rPr>
                <w:rtl/>
              </w:rPr>
            </w:pPr>
            <w:r w:rsidRPr="001101BF">
              <w:rPr>
                <w:rtl/>
              </w:rPr>
              <w:t xml:space="preserve">שר המשפטים, בהסכמת שר התחבורה והבטיחות בדרכים ובאישור ועדת החוקה, חוק ומשפט של הכנסת ברוב קולות של חבריה, רשאי לקבוע שרכבת </w:t>
            </w:r>
            <w:r w:rsidRPr="001101BF">
              <w:rPr>
                <w:rFonts w:hint="cs"/>
                <w:rtl/>
              </w:rPr>
              <w:t>עירונית</w:t>
            </w:r>
            <w:r w:rsidRPr="001101BF">
              <w:rPr>
                <w:rtl/>
              </w:rPr>
              <w:t xml:space="preserve">, וכן אוטובוס או מונית, לא יפעלו ביום המנוחה השבועי בקו שירות עירוני מסוים, או שהמסלול של אותו קו שירות ישונה ביום זה. </w:t>
            </w:r>
          </w:p>
        </w:tc>
      </w:tr>
      <w:tr w:rsidR="00B30641" w14:paraId="7B375238" w14:textId="77777777" w:rsidTr="001101BF">
        <w:trPr>
          <w:cantSplit/>
        </w:trPr>
        <w:tc>
          <w:tcPr>
            <w:tcW w:w="1871" w:type="dxa"/>
          </w:tcPr>
          <w:p w14:paraId="7836AA09" w14:textId="145A245C" w:rsidR="00B30641" w:rsidRPr="00EE7DA6" w:rsidRDefault="00B30641" w:rsidP="00B30641">
            <w:pPr>
              <w:pStyle w:val="TableSideHeading"/>
              <w:keepLines w:val="0"/>
              <w:rPr>
                <w:sz w:val="26"/>
                <w:rtl/>
              </w:rPr>
            </w:pPr>
            <w:r w:rsidRPr="00EE7DA6">
              <w:rPr>
                <w:sz w:val="26"/>
                <w:rtl/>
              </w:rPr>
              <w:t>ביצוע ותקנות</w:t>
            </w:r>
          </w:p>
        </w:tc>
        <w:tc>
          <w:tcPr>
            <w:tcW w:w="624" w:type="dxa"/>
          </w:tcPr>
          <w:p w14:paraId="64260930" w14:textId="61319431" w:rsidR="00B30641" w:rsidRPr="001101BF" w:rsidRDefault="00B30641" w:rsidP="001101BF">
            <w:pPr>
              <w:pStyle w:val="TableText"/>
              <w:jc w:val="both"/>
              <w:rPr>
                <w:rtl/>
              </w:rPr>
            </w:pPr>
            <w:r w:rsidRPr="001101BF">
              <w:rPr>
                <w:rtl/>
              </w:rPr>
              <w:t>4.</w:t>
            </w:r>
          </w:p>
        </w:tc>
        <w:tc>
          <w:tcPr>
            <w:tcW w:w="7143" w:type="dxa"/>
          </w:tcPr>
          <w:p w14:paraId="223B6243" w14:textId="0A099D8D" w:rsidR="00B30641" w:rsidRPr="001101BF" w:rsidRDefault="00B30641" w:rsidP="001101BF">
            <w:pPr>
              <w:pStyle w:val="TableBlock"/>
              <w:rPr>
                <w:rtl/>
              </w:rPr>
            </w:pPr>
            <w:r w:rsidRPr="001101BF">
              <w:rPr>
                <w:rtl/>
              </w:rPr>
              <w:t xml:space="preserve">שר התחבורה והבטיחות בדרכים ממונה על ביצוע חוק זה והוא רשאי, בכפוף להוראות סעיף 3 ובאישור ועדת הכלכלה של הכנסת, להתקין תקנות לביצועו, לרבות לעניין הפעלת שירות משירותי התחבורה הציבורית בתדירות מצומצמת ביום המנוחה השבועי. </w:t>
            </w:r>
          </w:p>
        </w:tc>
      </w:tr>
    </w:tbl>
    <w:p w14:paraId="7F6961CA" w14:textId="77777777" w:rsidR="002D1EE3" w:rsidRPr="00C9051F" w:rsidRDefault="002D1EE3" w:rsidP="00C9051F">
      <w:pPr>
        <w:pStyle w:val="HeadDivreiHesber"/>
        <w:rPr>
          <w:rtl/>
        </w:rPr>
      </w:pPr>
      <w:r w:rsidRPr="00C9051F">
        <w:rPr>
          <w:rFonts w:hint="cs"/>
          <w:rtl/>
        </w:rPr>
        <w:t>דברי הסבר</w:t>
      </w:r>
    </w:p>
    <w:p w14:paraId="5A749A8A" w14:textId="77777777" w:rsidR="00B30641" w:rsidRPr="00C9051F" w:rsidRDefault="00B30641" w:rsidP="00C9051F">
      <w:pPr>
        <w:pStyle w:val="Hesber"/>
        <w:rPr>
          <w:rtl/>
        </w:rPr>
      </w:pPr>
      <w:r w:rsidRPr="00C9051F">
        <w:rPr>
          <w:rtl/>
        </w:rPr>
        <w:t>מטרת הצעת החוק היא לאפשר פעולה סדירה של תחבורה ציבורית ביום המנוחה השבועי.</w:t>
      </w:r>
    </w:p>
    <w:p w14:paraId="46598177" w14:textId="77777777" w:rsidR="00B30641" w:rsidRPr="00C9051F" w:rsidRDefault="00B30641" w:rsidP="00C9051F">
      <w:pPr>
        <w:pStyle w:val="Hesber"/>
      </w:pPr>
      <w:r w:rsidRPr="00C9051F">
        <w:rPr>
          <w:rtl/>
        </w:rPr>
        <w:t xml:space="preserve">במציאות הקיימת היום, כאשר ברוב המקומות בישראל אין תנועה של תחבורה ציבורית מערב שבת </w:t>
      </w:r>
      <w:r w:rsidRPr="00C9051F">
        <w:rPr>
          <w:rtl/>
        </w:rPr>
        <w:lastRenderedPageBreak/>
        <w:t xml:space="preserve">ועד מוצאי שבת, בעוד שתנועת התחבורה הפרטית אינה מוגבלת, תושבי ישראל שאין ברשותם רכב פרטי מופלים לרעה בצורה בלתי הוגנת. זכותם לחופש תנועה נשללת למשך 24 שעות בכל שבוע, ללא הצדקה. </w:t>
      </w:r>
    </w:p>
    <w:p w14:paraId="72C88A32" w14:textId="77777777" w:rsidR="00B30641" w:rsidRPr="00F412EB" w:rsidRDefault="00B30641" w:rsidP="00B30641">
      <w:pPr>
        <w:pStyle w:val="Hesber"/>
        <w:rPr>
          <w:rtl/>
        </w:rPr>
      </w:pPr>
      <w:r w:rsidRPr="00F412EB">
        <w:rPr>
          <w:b/>
          <w:bCs/>
          <w:rtl/>
        </w:rPr>
        <w:t>סעיף 3</w:t>
      </w:r>
      <w:r w:rsidRPr="00F412EB">
        <w:rPr>
          <w:rtl/>
        </w:rPr>
        <w:tab/>
        <w:t xml:space="preserve">מוצע לקבוע כי במקרים חריגים תינתן אפשרות להגביל תנועה של קווי אוטובוס, מוניות שירות ורכבות </w:t>
      </w:r>
      <w:r>
        <w:rPr>
          <w:rFonts w:hint="cs"/>
          <w:rtl/>
        </w:rPr>
        <w:t>עירוניות</w:t>
      </w:r>
      <w:r w:rsidRPr="00F412EB">
        <w:rPr>
          <w:rtl/>
        </w:rPr>
        <w:t xml:space="preserve">, בקווי שירות עירוניים ביום המנוחה השבועי. הסדר זה יאפשר להתגבר על הבעיות של פגיעה ברגשות הדתיים של תושבי שכונות מסוימות, שבהן אסורה באותו יום גם תנועה של רכבים פרטיים. סעיף זה לא יחול על תחבורה ציבורית בין-עירונית. </w:t>
      </w:r>
    </w:p>
    <w:p w14:paraId="126A8372" w14:textId="77777777" w:rsidR="00B30641" w:rsidRPr="00F412EB" w:rsidRDefault="00B30641" w:rsidP="00B30641">
      <w:pPr>
        <w:pStyle w:val="Hesber"/>
        <w:rPr>
          <w:rtl/>
        </w:rPr>
      </w:pPr>
      <w:r w:rsidRPr="00C710BD">
        <w:rPr>
          <w:b/>
          <w:bCs/>
          <w:rtl/>
        </w:rPr>
        <w:t>סעיף 4</w:t>
      </w:r>
      <w:r w:rsidRPr="00F412EB">
        <w:rPr>
          <w:rtl/>
        </w:rPr>
        <w:tab/>
        <w:t>מוצע להסמיך את שר התחבורה והבטיחות בדרכים להתקין תקנות לביצוע החוק, ובכלל זה לקבוע שקו שירות כלשהו של תחבורה ציבורית יפעל ביום המנוחה השבועי בתדירות נמוכה יותר מאשר בימי העבודה, מסיבות של כדאיות.</w:t>
      </w:r>
      <w:r>
        <w:rPr>
          <w:rFonts w:hint="cs"/>
          <w:rtl/>
        </w:rPr>
        <w:t xml:space="preserve"> </w:t>
      </w:r>
      <w:r w:rsidRPr="00F412EB">
        <w:rPr>
          <w:rtl/>
        </w:rPr>
        <w:t>איסור תנועה של קו שירות או שינוי מסלולו ביום המנוחה השבועי ייעשו בהתאם להוראות סעיף 3 בלבד.</w:t>
      </w:r>
    </w:p>
    <w:p w14:paraId="1B4179D1" w14:textId="77777777" w:rsidR="00B30641" w:rsidRPr="00EE7DA6" w:rsidRDefault="00B30641" w:rsidP="00B30641">
      <w:pPr>
        <w:pStyle w:val="Hesber"/>
        <w:rPr>
          <w:rtl/>
        </w:rPr>
      </w:pPr>
      <w:r w:rsidRPr="00EE7DA6">
        <w:rPr>
          <w:rtl/>
        </w:rPr>
        <w:t xml:space="preserve">  הצעות חוק דומות בעיקרן הונחו על שולחן הכנסת השבע-עשרה על ידי </w:t>
      </w:r>
      <w:r>
        <w:rPr>
          <w:rFonts w:hint="cs"/>
          <w:rtl/>
        </w:rPr>
        <w:t xml:space="preserve">חברי הכנסת זהבה גלאון ורן כהן (פ/53/17), ועל ידי </w:t>
      </w:r>
      <w:r w:rsidRPr="00EE7DA6">
        <w:rPr>
          <w:rtl/>
        </w:rPr>
        <w:t>חבר הכנסת דב חנין וקבוצת חברי הכנסת (פ/1414/17)</w:t>
      </w:r>
      <w:r>
        <w:rPr>
          <w:rtl/>
        </w:rPr>
        <w:t>,</w:t>
      </w:r>
      <w:r w:rsidRPr="00EE7DA6">
        <w:rPr>
          <w:rtl/>
        </w:rPr>
        <w:t xml:space="preserve"> ועל שולחן הכנסת השמונה-עשרה על ידי חבר הכנסת דב חנין וקבוצת חברי הכנסת (פ/355/18).</w:t>
      </w:r>
    </w:p>
    <w:p w14:paraId="39EB12C1" w14:textId="1A9B1F7A" w:rsidR="00B30641" w:rsidRDefault="00B30641" w:rsidP="00FE022A">
      <w:pPr>
        <w:pStyle w:val="Hesber"/>
        <w:rPr>
          <w:rtl/>
        </w:rPr>
      </w:pPr>
      <w:r w:rsidRPr="00EE7DA6">
        <w:rPr>
          <w:rtl/>
        </w:rPr>
        <w:t>הצעות חוק זהות הונחו על שולחן הכנסת השמונה-עשרה על ידי חבר הכנסת ניצן הורוביץ וקבוצת חברי הכנסת (פ/331/18; הוסרה מסדר היום ביום כ' בסיו</w:t>
      </w:r>
      <w:r>
        <w:rPr>
          <w:rtl/>
        </w:rPr>
        <w:t>ו</w:t>
      </w:r>
      <w:r w:rsidRPr="00EE7DA6">
        <w:rPr>
          <w:rtl/>
        </w:rPr>
        <w:t>ן התשע"א (22 ביוני 2011)</w:t>
      </w:r>
      <w:r>
        <w:rPr>
          <w:rFonts w:hint="cs"/>
          <w:rtl/>
        </w:rPr>
        <w:t xml:space="preserve">; </w:t>
      </w:r>
      <w:r w:rsidRPr="00EE7DA6">
        <w:rPr>
          <w:rtl/>
        </w:rPr>
        <w:t>פ/3588/18)</w:t>
      </w:r>
      <w:r>
        <w:rPr>
          <w:rFonts w:hint="cs"/>
          <w:rtl/>
        </w:rPr>
        <w:t>, על ידי חבר הכנסת דב חנין וקבוצת חברי הכנסת (פ/355/18)</w:t>
      </w:r>
      <w:r w:rsidRPr="00EE7DA6">
        <w:rPr>
          <w:rtl/>
        </w:rPr>
        <w:t xml:space="preserve"> ועל ידי חברת הכנסת זהבה גלאון וקבוצת חברי הכנסת (פ/3262/18; הוסרה מסדר היום ביום ו' באדר התשע"ב (29 בפברואר 2012)), על שולחן הכנסת התשע-עשרה על ידי חבר הכנסת ניצן הורוביץ וקבוצת חברי </w:t>
      </w:r>
      <w:r>
        <w:rPr>
          <w:rtl/>
        </w:rPr>
        <w:t>הכנסת (פ/627/19)</w:t>
      </w:r>
      <w:r>
        <w:rPr>
          <w:rFonts w:hint="cs"/>
          <w:rtl/>
        </w:rPr>
        <w:t xml:space="preserve"> ועל ידי חבר הכנסת דב חנין וקבוצת חברי הכנסת (פ/2272/19), ועל שולחן הכנסת העשרים על ידי חבר הכנסת דב חנין וקבוצת חברי הכנסת (</w:t>
      </w:r>
      <w:r w:rsidRPr="006C2AFE">
        <w:rPr>
          <w:rtl/>
        </w:rPr>
        <w:t>פ/1097/20</w:t>
      </w:r>
      <w:r w:rsidR="00FE022A">
        <w:rPr>
          <w:rFonts w:hint="cs"/>
          <w:rtl/>
        </w:rPr>
        <w:t xml:space="preserve">; </w:t>
      </w:r>
      <w:r w:rsidR="00FE022A">
        <w:rPr>
          <w:rFonts w:hint="cs"/>
          <w:sz w:val="26"/>
          <w:rtl/>
        </w:rPr>
        <w:t>הוסרה מסדר היום ביום כ"ט בחשוון התשע"ט (7 בנובמבר 2018)</w:t>
      </w:r>
      <w:r w:rsidRPr="006C2AFE">
        <w:rPr>
          <w:rFonts w:hint="cs"/>
          <w:rtl/>
        </w:rPr>
        <w:t xml:space="preserve">) </w:t>
      </w:r>
      <w:r>
        <w:rPr>
          <w:rFonts w:hint="cs"/>
          <w:rtl/>
        </w:rPr>
        <w:t xml:space="preserve">וחברת הכנסת תמר זנדברג וקבוצת חברי הכנסת (פ/7/20; </w:t>
      </w:r>
      <w:r>
        <w:rPr>
          <w:rFonts w:hint="cs"/>
          <w:sz w:val="26"/>
          <w:rtl/>
        </w:rPr>
        <w:t>הוסרה מסדר היום ביום כ"ט בחשוון התשע"ט (7 בנובמבר 2018)</w:t>
      </w:r>
      <w:r>
        <w:rPr>
          <w:rFonts w:hint="cs"/>
          <w:rtl/>
        </w:rPr>
        <w:t>), על ידי חברת הכנסת תמר זנדברג וקבוצת חברי הכנסת (פ/5982/20)</w:t>
      </w:r>
      <w:r>
        <w:t xml:space="preserve"> </w:t>
      </w:r>
      <w:r>
        <w:rPr>
          <w:rFonts w:hint="cs"/>
          <w:rtl/>
        </w:rPr>
        <w:t xml:space="preserve">ועל ידי </w:t>
      </w:r>
      <w:r w:rsidR="00FE022A">
        <w:rPr>
          <w:rFonts w:hint="cs"/>
          <w:rtl/>
        </w:rPr>
        <w:t>חבר הכנסת</w:t>
      </w:r>
      <w:r>
        <w:rPr>
          <w:rFonts w:hint="cs"/>
          <w:rtl/>
        </w:rPr>
        <w:t xml:space="preserve"> דב חנין (פ/5983/20). </w:t>
      </w:r>
    </w:p>
    <w:p w14:paraId="6AD56D9B" w14:textId="77777777" w:rsidR="000455E3" w:rsidRDefault="000455E3" w:rsidP="00FE022A">
      <w:pPr>
        <w:pStyle w:val="Hesber"/>
        <w:rPr>
          <w:rtl/>
        </w:rPr>
      </w:pPr>
    </w:p>
    <w:p w14:paraId="18DAC654" w14:textId="77777777" w:rsidR="000455E3" w:rsidRDefault="000455E3" w:rsidP="00FE022A">
      <w:pPr>
        <w:pStyle w:val="Hesber"/>
        <w:rPr>
          <w:rtl/>
        </w:rPr>
      </w:pPr>
    </w:p>
    <w:p w14:paraId="4483B1A7" w14:textId="77777777" w:rsidR="000455E3" w:rsidRDefault="000455E3" w:rsidP="00FE022A">
      <w:pPr>
        <w:pStyle w:val="Hesber"/>
        <w:rPr>
          <w:rtl/>
        </w:rPr>
      </w:pPr>
      <w:bookmarkStart w:id="8" w:name="_GoBack"/>
      <w:bookmarkEnd w:id="8"/>
    </w:p>
    <w:p w14:paraId="752368D7" w14:textId="77777777" w:rsidR="000455E3" w:rsidRPr="00D73212" w:rsidRDefault="000455E3" w:rsidP="000455E3">
      <w:pPr>
        <w:pStyle w:val="Hesber"/>
        <w:rPr>
          <w:rtl/>
        </w:rPr>
      </w:pPr>
      <w:r w:rsidRPr="00D73212">
        <w:rPr>
          <w:rtl/>
        </w:rPr>
        <w:t>---------------------------------</w:t>
      </w:r>
    </w:p>
    <w:p w14:paraId="6A79FB5C" w14:textId="77777777" w:rsidR="000455E3" w:rsidRPr="00D73212" w:rsidRDefault="000455E3" w:rsidP="000455E3">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64ACF0FB" w14:textId="77777777" w:rsidR="000455E3" w:rsidRPr="00D73212" w:rsidRDefault="000455E3" w:rsidP="000455E3">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59A5B0FD" w14:textId="77777777" w:rsidR="000455E3" w:rsidRPr="00317312" w:rsidRDefault="000455E3" w:rsidP="000455E3">
      <w:pPr>
        <w:pStyle w:val="Hesber"/>
      </w:pPr>
      <w:r>
        <w:rPr>
          <w:rFonts w:hint="cs"/>
          <w:rtl/>
        </w:rPr>
        <w:t>ט"ו באייר</w:t>
      </w:r>
      <w:r w:rsidRPr="00D73212">
        <w:rPr>
          <w:rtl/>
        </w:rPr>
        <w:t xml:space="preserve"> </w:t>
      </w:r>
      <w:r w:rsidRPr="00D73212">
        <w:rPr>
          <w:rFonts w:hint="cs"/>
          <w:rtl/>
        </w:rPr>
        <w:t>התשע</w:t>
      </w:r>
      <w:r w:rsidRPr="00D73212">
        <w:rPr>
          <w:rtl/>
        </w:rPr>
        <w:t>"</w:t>
      </w:r>
      <w:r>
        <w:rPr>
          <w:rFonts w:hint="cs"/>
          <w:rtl/>
        </w:rPr>
        <w:t xml:space="preserve">ט </w:t>
      </w:r>
      <w:r w:rsidRPr="00D73212">
        <w:rPr>
          <w:rtl/>
        </w:rPr>
        <w:t>–</w:t>
      </w:r>
      <w:r>
        <w:rPr>
          <w:rFonts w:hint="cs"/>
          <w:rtl/>
        </w:rPr>
        <w:t xml:space="preserve"> 20.5</w:t>
      </w:r>
      <w:r w:rsidRPr="00D73212">
        <w:rPr>
          <w:rtl/>
        </w:rPr>
        <w:t>.</w:t>
      </w:r>
      <w:r>
        <w:rPr>
          <w:rFonts w:hint="cs"/>
          <w:rtl/>
        </w:rPr>
        <w:t xml:space="preserve">19  </w:t>
      </w:r>
    </w:p>
    <w:p w14:paraId="1BF7311A" w14:textId="77777777" w:rsidR="000455E3" w:rsidRPr="000455E3" w:rsidRDefault="000455E3" w:rsidP="00FE022A">
      <w:pPr>
        <w:pStyle w:val="Hesber"/>
        <w:rPr>
          <w:rtl/>
        </w:rPr>
      </w:pPr>
    </w:p>
    <w:p w14:paraId="7F6961CB" w14:textId="77777777" w:rsidR="00E13C27" w:rsidRDefault="00E13C27" w:rsidP="00E13C27">
      <w:pPr>
        <w:pStyle w:val="Hesber"/>
        <w:rPr>
          <w:rtl/>
        </w:rPr>
      </w:pPr>
    </w:p>
    <w:sectPr w:rsidR="00E13C27" w:rsidSect="001101BF">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0455E3">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1101BF">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C92A718" w14:textId="77777777" w:rsidR="00B30641" w:rsidRDefault="00B30641" w:rsidP="00B30641">
      <w:pPr>
        <w:pStyle w:val="a4"/>
      </w:pPr>
      <w:r>
        <w:rPr>
          <w:rStyle w:val="a6"/>
        </w:rPr>
        <w:footnoteRef/>
      </w:r>
      <w:r>
        <w:t xml:space="preserve"> </w:t>
      </w:r>
      <w:r>
        <w:rPr>
          <w:sz w:val="20"/>
          <w:rtl/>
        </w:rPr>
        <w:t xml:space="preserve"> דיני מדינת ישראל, נוסח חדש 7, עמ' 173.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455E3"/>
    <w:rsid w:val="00063A3E"/>
    <w:rsid w:val="00072CAC"/>
    <w:rsid w:val="0007681A"/>
    <w:rsid w:val="000A542E"/>
    <w:rsid w:val="00102B6B"/>
    <w:rsid w:val="001052D4"/>
    <w:rsid w:val="0010644B"/>
    <w:rsid w:val="001101BF"/>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6301B"/>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0641"/>
    <w:rsid w:val="00B35784"/>
    <w:rsid w:val="00B733A7"/>
    <w:rsid w:val="00B75C91"/>
    <w:rsid w:val="00B975AD"/>
    <w:rsid w:val="00BC45FB"/>
    <w:rsid w:val="00BF148D"/>
    <w:rsid w:val="00C23B1A"/>
    <w:rsid w:val="00C310EB"/>
    <w:rsid w:val="00C9051F"/>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E02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F630E1E-E9BD-422C-9E74-EE1286D7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1BF"/>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1101BF"/>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1101BF"/>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1101BF"/>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1101BF"/>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1101BF"/>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1101BF"/>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1101BF"/>
    <w:rPr>
      <w:sz w:val="36"/>
      <w:szCs w:val="52"/>
    </w:rPr>
  </w:style>
  <w:style w:type="paragraph" w:customStyle="1" w:styleId="Cover3-Haknesset">
    <w:name w:val="Cover 3-Haknesset"/>
    <w:basedOn w:val="Cover1-Reshumot"/>
    <w:rsid w:val="001101BF"/>
    <w:rPr>
      <w:b/>
      <w:bCs/>
      <w:spacing w:val="60"/>
    </w:rPr>
  </w:style>
  <w:style w:type="paragraph" w:customStyle="1" w:styleId="Cover4-Date">
    <w:name w:val="Cover 4-Date"/>
    <w:basedOn w:val="a"/>
    <w:rsid w:val="001101BF"/>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1101BF"/>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1101BF"/>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1101BF"/>
    <w:pPr>
      <w:spacing w:before="120" w:after="120"/>
    </w:pPr>
    <w:rPr>
      <w:color w:val="FF0000"/>
      <w:w w:val="80"/>
    </w:rPr>
  </w:style>
  <w:style w:type="paragraph" w:styleId="a3">
    <w:name w:val="endnote text"/>
    <w:basedOn w:val="a"/>
    <w:semiHidden/>
    <w:rsid w:val="001101BF"/>
    <w:pPr>
      <w:ind w:left="227" w:hanging="227"/>
    </w:pPr>
    <w:rPr>
      <w:sz w:val="14"/>
      <w:szCs w:val="22"/>
    </w:rPr>
  </w:style>
  <w:style w:type="paragraph" w:customStyle="1" w:styleId="TableText">
    <w:name w:val="Table Text"/>
    <w:basedOn w:val="a"/>
    <w:rsid w:val="001101BF"/>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1101BF"/>
    <w:pPr>
      <w:outlineLvl w:val="2"/>
    </w:pPr>
  </w:style>
  <w:style w:type="paragraph" w:customStyle="1" w:styleId="TableBlock">
    <w:name w:val="Table Block"/>
    <w:basedOn w:val="TableText"/>
    <w:rsid w:val="001101BF"/>
    <w:pPr>
      <w:jc w:val="both"/>
    </w:pPr>
  </w:style>
  <w:style w:type="paragraph" w:customStyle="1" w:styleId="TableHead">
    <w:name w:val="Table Head"/>
    <w:basedOn w:val="TableText"/>
    <w:rsid w:val="001101BF"/>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1101BF"/>
    <w:pPr>
      <w:outlineLvl w:val="9"/>
    </w:pPr>
  </w:style>
  <w:style w:type="paragraph" w:customStyle="1" w:styleId="Hesber">
    <w:name w:val="Hesber"/>
    <w:basedOn w:val="a"/>
    <w:rsid w:val="001101BF"/>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1101BF"/>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1101BF"/>
    <w:rPr>
      <w:vertAlign w:val="superscript"/>
    </w:rPr>
  </w:style>
  <w:style w:type="paragraph" w:customStyle="1" w:styleId="HesberHeading">
    <w:name w:val="Hesber Heading"/>
    <w:basedOn w:val="Hesber"/>
    <w:rsid w:val="001101BF"/>
    <w:pPr>
      <w:tabs>
        <w:tab w:val="left" w:pos="624"/>
        <w:tab w:val="left" w:pos="1247"/>
      </w:tabs>
    </w:pPr>
    <w:rPr>
      <w:b/>
      <w:bCs/>
    </w:rPr>
  </w:style>
  <w:style w:type="paragraph" w:customStyle="1" w:styleId="HesberWriters">
    <w:name w:val="Hesber Writers"/>
    <w:basedOn w:val="Hesber"/>
    <w:rsid w:val="001101BF"/>
    <w:pPr>
      <w:spacing w:before="120" w:after="120"/>
      <w:ind w:left="1418"/>
      <w:jc w:val="right"/>
    </w:pPr>
    <w:rPr>
      <w:b/>
      <w:bCs/>
    </w:rPr>
  </w:style>
  <w:style w:type="paragraph" w:customStyle="1" w:styleId="Hesber1st">
    <w:name w:val="Hesber 1st"/>
    <w:basedOn w:val="Hesber"/>
    <w:rsid w:val="001101BF"/>
    <w:pPr>
      <w:tabs>
        <w:tab w:val="left" w:pos="680"/>
        <w:tab w:val="left" w:pos="1020"/>
      </w:tabs>
      <w:ind w:firstLine="0"/>
    </w:pPr>
  </w:style>
  <w:style w:type="character" w:styleId="a7">
    <w:name w:val="endnote reference"/>
    <w:basedOn w:val="a0"/>
    <w:semiHidden/>
    <w:rsid w:val="001101BF"/>
    <w:rPr>
      <w:vertAlign w:val="superscript"/>
    </w:rPr>
  </w:style>
  <w:style w:type="paragraph" w:customStyle="1" w:styleId="TableBlockOutdent">
    <w:name w:val="Table BlockOutdent"/>
    <w:basedOn w:val="TableBlock"/>
    <w:rsid w:val="001101BF"/>
    <w:pPr>
      <w:ind w:left="624" w:hanging="624"/>
    </w:pPr>
  </w:style>
  <w:style w:type="paragraph" w:styleId="a8">
    <w:name w:val="header"/>
    <w:basedOn w:val="a"/>
    <w:rsid w:val="001101BF"/>
    <w:pPr>
      <w:tabs>
        <w:tab w:val="center" w:pos="4153"/>
        <w:tab w:val="right" w:pos="8306"/>
      </w:tabs>
    </w:pPr>
  </w:style>
  <w:style w:type="paragraph" w:styleId="a9">
    <w:name w:val="footer"/>
    <w:basedOn w:val="a"/>
    <w:rsid w:val="001101BF"/>
    <w:pPr>
      <w:tabs>
        <w:tab w:val="center" w:pos="4153"/>
        <w:tab w:val="right" w:pos="8306"/>
      </w:tabs>
    </w:pPr>
  </w:style>
  <w:style w:type="paragraph" w:customStyle="1" w:styleId="HeadDivreiHesber">
    <w:name w:val="Head DivreiHesber"/>
    <w:basedOn w:val="a"/>
    <w:rsid w:val="001101BF"/>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1101BF"/>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1101BF"/>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B30641"/>
    <w:rPr>
      <w:rFonts w:ascii="Arial" w:eastAsia="Arial Unicode MS" w:hAnsi="Arial" w:cs="David"/>
      <w:snapToGrid w:val="0"/>
      <w:sz w:val="14"/>
    </w:rPr>
  </w:style>
  <w:style w:type="character" w:customStyle="1" w:styleId="10">
    <w:name w:val="כותרת 1 תו"/>
    <w:basedOn w:val="a0"/>
    <w:link w:val="1"/>
    <w:uiPriority w:val="9"/>
    <w:rsid w:val="001101BF"/>
    <w:rPr>
      <w:rFonts w:asciiTheme="majorHAnsi" w:eastAsiaTheme="majorEastAsia" w:hAnsiTheme="majorHAnsi" w:cs="David"/>
      <w:bCs/>
      <w:sz w:val="32"/>
      <w:szCs w:val="36"/>
    </w:rPr>
  </w:style>
  <w:style w:type="character" w:customStyle="1" w:styleId="20">
    <w:name w:val="כותרת 2 תו"/>
    <w:basedOn w:val="a0"/>
    <w:link w:val="2"/>
    <w:rsid w:val="001101BF"/>
    <w:rPr>
      <w:rFonts w:asciiTheme="majorHAnsi" w:eastAsiaTheme="majorEastAsia" w:hAnsiTheme="majorHAnsi" w:cs="David"/>
      <w:bCs/>
      <w:sz w:val="26"/>
      <w:szCs w:val="36"/>
      <w:u w:val="single"/>
    </w:rPr>
  </w:style>
  <w:style w:type="character" w:customStyle="1" w:styleId="30">
    <w:name w:val="כותרת 3 תו"/>
    <w:basedOn w:val="a0"/>
    <w:link w:val="3"/>
    <w:rsid w:val="001101BF"/>
    <w:rPr>
      <w:rFonts w:asciiTheme="majorHAnsi" w:eastAsiaTheme="majorEastAsia" w:hAnsiTheme="majorHAnsi" w:cs="David"/>
      <w:sz w:val="24"/>
      <w:szCs w:val="28"/>
      <w:u w:val="double"/>
    </w:rPr>
  </w:style>
  <w:style w:type="character" w:customStyle="1" w:styleId="40">
    <w:name w:val="כותרת 4 תו"/>
    <w:basedOn w:val="a0"/>
    <w:link w:val="4"/>
    <w:uiPriority w:val="9"/>
    <w:rsid w:val="001101BF"/>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1101BF"/>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1101BF"/>
    <w:pPr>
      <w:widowControl/>
      <w:spacing w:before="120" w:after="120"/>
      <w:outlineLvl w:val="9"/>
    </w:pPr>
    <w:rPr>
      <w:rtl/>
      <w:cs/>
    </w:rPr>
  </w:style>
  <w:style w:type="paragraph" w:styleId="TOC1">
    <w:name w:val="toc 1"/>
    <w:basedOn w:val="a"/>
    <w:next w:val="a"/>
    <w:autoRedefine/>
    <w:uiPriority w:val="39"/>
    <w:unhideWhenUsed/>
    <w:rsid w:val="001101BF"/>
    <w:pPr>
      <w:tabs>
        <w:tab w:val="right" w:leader="dot" w:pos="9629"/>
      </w:tabs>
      <w:spacing w:after="100"/>
    </w:pPr>
    <w:rPr>
      <w:bCs/>
      <w:szCs w:val="22"/>
    </w:rPr>
  </w:style>
  <w:style w:type="paragraph" w:styleId="TOC2">
    <w:name w:val="toc 2"/>
    <w:basedOn w:val="a"/>
    <w:next w:val="a"/>
    <w:uiPriority w:val="39"/>
    <w:unhideWhenUsed/>
    <w:rsid w:val="001101BF"/>
    <w:pPr>
      <w:tabs>
        <w:tab w:val="right" w:leader="dot" w:pos="9628"/>
      </w:tabs>
      <w:spacing w:after="100"/>
    </w:pPr>
    <w:rPr>
      <w:szCs w:val="22"/>
    </w:rPr>
  </w:style>
  <w:style w:type="character" w:styleId="Hyperlink">
    <w:name w:val="Hyperlink"/>
    <w:basedOn w:val="a0"/>
    <w:uiPriority w:val="99"/>
    <w:unhideWhenUsed/>
    <w:rsid w:val="001101BF"/>
    <w:rPr>
      <w:color w:val="0000FF" w:themeColor="hyperlink"/>
      <w:u w:val="single"/>
    </w:rPr>
  </w:style>
  <w:style w:type="paragraph" w:styleId="TOC3">
    <w:name w:val="toc 3"/>
    <w:basedOn w:val="a"/>
    <w:next w:val="a"/>
    <w:uiPriority w:val="39"/>
    <w:unhideWhenUsed/>
    <w:rsid w:val="001101BF"/>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1101BF"/>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1101BF"/>
    <w:pPr>
      <w:tabs>
        <w:tab w:val="right" w:leader="dot" w:pos="9628"/>
      </w:tabs>
      <w:spacing w:after="100"/>
      <w:ind w:left="567"/>
    </w:pPr>
    <w:rPr>
      <w:szCs w:val="22"/>
    </w:rPr>
  </w:style>
  <w:style w:type="paragraph" w:styleId="TOC6">
    <w:name w:val="toc 6"/>
    <w:basedOn w:val="a"/>
    <w:next w:val="a"/>
    <w:autoRedefine/>
    <w:semiHidden/>
    <w:unhideWhenUsed/>
    <w:rsid w:val="001101BF"/>
    <w:pPr>
      <w:spacing w:after="100"/>
      <w:ind w:left="850"/>
    </w:pPr>
  </w:style>
  <w:style w:type="paragraph" w:styleId="TOC7">
    <w:name w:val="toc 7"/>
    <w:basedOn w:val="a"/>
    <w:next w:val="a"/>
    <w:autoRedefine/>
    <w:semiHidden/>
    <w:unhideWhenUsed/>
    <w:rsid w:val="001101BF"/>
    <w:pPr>
      <w:spacing w:after="100"/>
      <w:ind w:left="1020"/>
    </w:pPr>
  </w:style>
  <w:style w:type="paragraph" w:styleId="TOC8">
    <w:name w:val="toc 8"/>
    <w:basedOn w:val="a"/>
    <w:next w:val="a"/>
    <w:autoRedefine/>
    <w:semiHidden/>
    <w:unhideWhenUsed/>
    <w:rsid w:val="001101BF"/>
    <w:pPr>
      <w:spacing w:after="100"/>
      <w:ind w:left="1190"/>
    </w:pPr>
  </w:style>
  <w:style w:type="paragraph" w:styleId="TOC9">
    <w:name w:val="toc 9"/>
    <w:basedOn w:val="a"/>
    <w:next w:val="a"/>
    <w:autoRedefine/>
    <w:semiHidden/>
    <w:unhideWhenUsed/>
    <w:rsid w:val="001101BF"/>
    <w:pPr>
      <w:spacing w:after="100"/>
      <w:ind w:left="1360"/>
    </w:pPr>
  </w:style>
  <w:style w:type="paragraph" w:customStyle="1" w:styleId="TableHead2">
    <w:name w:val="Table Head2"/>
    <w:basedOn w:val="TableHead"/>
    <w:qFormat/>
    <w:rsid w:val="001101BF"/>
    <w:pPr>
      <w:outlineLvl w:val="9"/>
    </w:pPr>
  </w:style>
  <w:style w:type="paragraph" w:customStyle="1" w:styleId="TableSideHeading2">
    <w:name w:val="Table SideHeading2"/>
    <w:basedOn w:val="TableSideHeading"/>
    <w:autoRedefine/>
    <w:qFormat/>
    <w:rsid w:val="001101BF"/>
    <w:pPr>
      <w:keepLines w:val="0"/>
      <w:outlineLvl w:val="9"/>
    </w:pPr>
  </w:style>
  <w:style w:type="paragraph" w:customStyle="1" w:styleId="0">
    <w:name w:val="סגנון שורה ראשונה:  0  ס''מ"/>
    <w:basedOn w:val="2"/>
    <w:rsid w:val="001101BF"/>
    <w:rPr>
      <w:rFonts w:eastAsia="Times New Roman"/>
    </w:rPr>
  </w:style>
  <w:style w:type="paragraph" w:styleId="af">
    <w:name w:val="List Paragraph"/>
    <w:basedOn w:val="a"/>
    <w:uiPriority w:val="34"/>
    <w:qFormat/>
    <w:rsid w:val="001101BF"/>
    <w:pPr>
      <w:widowControl/>
      <w:spacing w:line="259" w:lineRule="auto"/>
    </w:pPr>
    <w:rPr>
      <w:rFonts w:asciiTheme="minorHAnsi" w:hAnsiTheme="minorHAnsi"/>
      <w:sz w:val="22"/>
    </w:rPr>
  </w:style>
  <w:style w:type="table" w:styleId="af0">
    <w:name w:val="Table Grid"/>
    <w:basedOn w:val="a1"/>
    <w:rsid w:val="00110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1101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1101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1101BF"/>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1101BF"/>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29295-2057-44C5-AA8A-787F7D370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BB33DD7-4A5F-4953-9F24-8DD560087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546</Words>
  <Characters>2734</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2019-05-19T07:11:00Z</cp:lastPrinted>
  <dcterms:created xsi:type="dcterms:W3CDTF">2015-04-20T09:58:00Z</dcterms:created>
  <dcterms:modified xsi:type="dcterms:W3CDTF">2019-05-19T07:11:00Z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2078651</vt:r8>
  </property>
</Properties>
</file>