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2078629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ואחת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איציק שמולי</w:t>
      </w:r>
      <w:bookmarkEnd w:id="3"/>
    </w:p>
    <w:p w14:paraId="7F6961AA" w14:textId="39F9D96B" w:rsidR="00E13C27" w:rsidRPr="00CF1AA2" w:rsidRDefault="007D585A" w:rsidP="0036422C">
      <w:pPr>
        <w:pStyle w:val="David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7211A392" w:rsidR="00E13C27" w:rsidRPr="00E06736" w:rsidRDefault="00904591" w:rsidP="00904591">
      <w:pPr>
        <w:pStyle w:val="David"/>
        <w:spacing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 w:rsidR="0041796F">
        <w:rPr>
          <w:rtl/>
        </w:rPr>
        <w:tab/>
      </w:r>
      <w:bookmarkStart w:id="7" w:name="_GoBack"/>
      <w:bookmarkEnd w:id="7"/>
      <w:r>
        <w:rPr>
          <w:rFonts w:hint="cs"/>
          <w:rtl/>
        </w:rPr>
        <w:t>פ/13/21</w:t>
      </w:r>
      <w:bookmarkEnd w:id="6"/>
    </w:p>
    <w:p w14:paraId="7F6961AD" w14:textId="77777777" w:rsidR="00E13C27" w:rsidRPr="00F67051" w:rsidRDefault="00A443CF" w:rsidP="0021633A">
      <w:pPr>
        <w:pStyle w:val="HeadHatzaotHok"/>
        <w:rPr>
          <w:rtl/>
        </w:rPr>
      </w:pPr>
      <w:bookmarkStart w:id="8" w:name="LGS_Subject"/>
      <w:r>
        <w:rPr>
          <w:rFonts w:hint="cs"/>
          <w:rtl/>
        </w:rPr>
        <w:t>הצעת חוק ביטוח בריאות ממלכתי (תיקון – שירותי בריאות לתלמיד), התשע"ט–2019</w:t>
      </w:r>
      <w:bookmarkEnd w:id="8"/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3"/>
      </w:tblGrid>
      <w:tr w:rsidR="002F1D80" w14:paraId="035EEF3D" w14:textId="77777777" w:rsidTr="00467123">
        <w:trPr>
          <w:cantSplit/>
        </w:trPr>
        <w:tc>
          <w:tcPr>
            <w:tcW w:w="1871" w:type="dxa"/>
          </w:tcPr>
          <w:p w14:paraId="3863FF98" w14:textId="5ECA5C78" w:rsidR="002F1D80" w:rsidRPr="00A82EE1" w:rsidRDefault="00A82EE1" w:rsidP="002C3041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סעיף 21א</w:t>
            </w:r>
          </w:p>
        </w:tc>
        <w:tc>
          <w:tcPr>
            <w:tcW w:w="624" w:type="dxa"/>
          </w:tcPr>
          <w:p w14:paraId="6F513EF6" w14:textId="5D0A9DAD" w:rsidR="002F1D80" w:rsidRDefault="00923601" w:rsidP="002C3041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</w:tcPr>
          <w:p w14:paraId="6224DFB0" w14:textId="77777777" w:rsidR="00EC7095" w:rsidRDefault="00A82EE1" w:rsidP="00467123">
            <w:pPr>
              <w:pStyle w:val="TableHead"/>
              <w:jc w:val="both"/>
              <w:outlineLvl w:val="9"/>
              <w:rPr>
                <w:b w:val="0"/>
                <w:bCs w:val="0"/>
                <w:sz w:val="26"/>
                <w:rtl/>
              </w:rPr>
            </w:pPr>
            <w:r w:rsidRPr="00A82EE1">
              <w:rPr>
                <w:b w:val="0"/>
                <w:bCs w:val="0"/>
                <w:sz w:val="26"/>
                <w:rtl/>
              </w:rPr>
              <w:t>בחוק ביטוח בריאות ממלכתי, התשנ"ד–1994</w:t>
            </w:r>
            <w:r w:rsidRPr="00A82EE1">
              <w:rPr>
                <w:rStyle w:val="a6"/>
                <w:b w:val="0"/>
                <w:bCs w:val="0"/>
                <w:sz w:val="26"/>
                <w:rtl/>
              </w:rPr>
              <w:footnoteReference w:id="2"/>
            </w:r>
            <w:r w:rsidRPr="00A82EE1">
              <w:rPr>
                <w:b w:val="0"/>
                <w:bCs w:val="0"/>
                <w:sz w:val="26"/>
                <w:rtl/>
              </w:rPr>
              <w:t xml:space="preserve">, בסעיף 21א, בסופו יבוא </w:t>
            </w:r>
          </w:p>
          <w:p w14:paraId="1AE94DEB" w14:textId="0D3F6960" w:rsidR="002F1D80" w:rsidRPr="00A82EE1" w:rsidRDefault="00CE35FD" w:rsidP="00CE35FD">
            <w:pPr>
              <w:pStyle w:val="TableHead"/>
              <w:jc w:val="both"/>
              <w:outlineLvl w:val="9"/>
              <w:rPr>
                <w:b w:val="0"/>
                <w:bCs w:val="0"/>
              </w:rPr>
            </w:pPr>
            <w:r w:rsidRPr="00A82EE1">
              <w:rPr>
                <w:b w:val="0"/>
                <w:bCs w:val="0"/>
                <w:sz w:val="26"/>
                <w:rtl/>
              </w:rPr>
              <w:t>"</w:t>
            </w:r>
            <w:r>
              <w:rPr>
                <w:rFonts w:hint="cs"/>
                <w:b w:val="0"/>
                <w:bCs w:val="0"/>
                <w:sz w:val="26"/>
                <w:rtl/>
              </w:rPr>
              <w:t xml:space="preserve">; </w:t>
            </w:r>
            <w:r w:rsidR="00EC7095">
              <w:rPr>
                <w:rFonts w:hint="cs"/>
                <w:b w:val="0"/>
                <w:bCs w:val="0"/>
                <w:sz w:val="26"/>
                <w:rtl/>
              </w:rPr>
              <w:t>מ</w:t>
            </w:r>
            <w:r w:rsidR="00A82EE1" w:rsidRPr="00A82EE1">
              <w:rPr>
                <w:b w:val="0"/>
                <w:bCs w:val="0"/>
                <w:sz w:val="26"/>
                <w:rtl/>
              </w:rPr>
              <w:t>שרד הבריאות ייתן שירותים אלה בעצמו, אך לא באמצעות נותני שירותים; בסעיף זה, "נותן שירותים" – לרבות נותן שירותים שאינו מוסד רפואי כמשמעותו בסעיף 24 לפקודת בריאות העם, 1940."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7B7ACDBD" w14:textId="77777777" w:rsidR="00A82EE1" w:rsidRDefault="00A82EE1" w:rsidP="00A82EE1">
      <w:pPr>
        <w:pStyle w:val="Hesber"/>
        <w:rPr>
          <w:sz w:val="26"/>
          <w:rtl/>
        </w:rPr>
      </w:pPr>
      <w:r>
        <w:rPr>
          <w:sz w:val="26"/>
          <w:rtl/>
        </w:rPr>
        <w:t>שירותי הבריאות לתלמיד משתייכים לשירותי הרפואה המונעת – מהשירותים החשובים ביותר שמעניקה המדינה לתושביה.</w:t>
      </w:r>
    </w:p>
    <w:p w14:paraId="3133B862" w14:textId="77777777" w:rsidR="00A82EE1" w:rsidRDefault="00A82EE1" w:rsidP="00A82EE1">
      <w:pPr>
        <w:pStyle w:val="Hesber"/>
        <w:rPr>
          <w:sz w:val="26"/>
          <w:rtl/>
        </w:rPr>
      </w:pPr>
      <w:r>
        <w:rPr>
          <w:sz w:val="26"/>
          <w:rtl/>
        </w:rPr>
        <w:t>עבודות רבות בארץ ובחוץ לארץ ועמדות המומחים בתחום מצביעות על כך שישנה חשיבות עליונה להשארת הטיפול בבריאות התלמיד בידי המדינה, הן בפן האחריות והן בפן מתן השירות בפועל.</w:t>
      </w:r>
    </w:p>
    <w:p w14:paraId="283550A9" w14:textId="77777777" w:rsidR="00A82EE1" w:rsidRDefault="00A82EE1" w:rsidP="00A82EE1">
      <w:pPr>
        <w:pStyle w:val="Hesber"/>
        <w:rPr>
          <w:sz w:val="26"/>
          <w:rtl/>
        </w:rPr>
      </w:pPr>
      <w:r>
        <w:rPr>
          <w:sz w:val="26"/>
          <w:rtl/>
        </w:rPr>
        <w:t>הפרטת שירות זה והעברתו לגופים פרטיים, כפי שנעשתה בשנים האחרונות, לא הצליח</w:t>
      </w:r>
      <w:r>
        <w:rPr>
          <w:rFonts w:hint="cs"/>
          <w:sz w:val="26"/>
          <w:rtl/>
        </w:rPr>
        <w:t>ה</w:t>
      </w:r>
      <w:r>
        <w:rPr>
          <w:sz w:val="26"/>
          <w:rtl/>
        </w:rPr>
        <w:t xml:space="preserve"> להניב את התוצאות הרצויות. לכך יש השלכות קשות על הבריאות ועל החברה. </w:t>
      </w:r>
    </w:p>
    <w:p w14:paraId="20641AB2" w14:textId="77777777" w:rsidR="00A82EE1" w:rsidRDefault="00A82EE1" w:rsidP="00A82EE1">
      <w:pPr>
        <w:pStyle w:val="Hesber"/>
        <w:rPr>
          <w:sz w:val="26"/>
          <w:rtl/>
        </w:rPr>
      </w:pPr>
      <w:r>
        <w:rPr>
          <w:sz w:val="26"/>
          <w:rtl/>
        </w:rPr>
        <w:t xml:space="preserve">לפיכך, מוצע לקבוע כי המדינה, באמצעות משרד הבריאות, </w:t>
      </w:r>
      <w:r>
        <w:rPr>
          <w:rFonts w:hint="cs"/>
          <w:sz w:val="26"/>
          <w:rtl/>
        </w:rPr>
        <w:t>ת</w:t>
      </w:r>
      <w:r>
        <w:rPr>
          <w:sz w:val="26"/>
          <w:rtl/>
        </w:rPr>
        <w:t>עניק בפועל את שירות</w:t>
      </w:r>
      <w:r>
        <w:rPr>
          <w:rFonts w:hint="cs"/>
          <w:sz w:val="26"/>
          <w:rtl/>
        </w:rPr>
        <w:t>י</w:t>
      </w:r>
      <w:r>
        <w:rPr>
          <w:sz w:val="26"/>
          <w:rtl/>
        </w:rPr>
        <w:t xml:space="preserve"> </w:t>
      </w:r>
      <w:r>
        <w:rPr>
          <w:rFonts w:hint="cs"/>
          <w:sz w:val="26"/>
          <w:rtl/>
        </w:rPr>
        <w:t>ה</w:t>
      </w:r>
      <w:r>
        <w:rPr>
          <w:sz w:val="26"/>
          <w:rtl/>
        </w:rPr>
        <w:t xml:space="preserve">בריאות </w:t>
      </w:r>
      <w:r>
        <w:rPr>
          <w:rFonts w:hint="cs"/>
          <w:sz w:val="26"/>
          <w:rtl/>
        </w:rPr>
        <w:t>ל</w:t>
      </w:r>
      <w:r>
        <w:rPr>
          <w:sz w:val="26"/>
          <w:rtl/>
        </w:rPr>
        <w:t>תלמיד</w:t>
      </w:r>
      <w:r>
        <w:rPr>
          <w:rFonts w:hint="cs"/>
          <w:sz w:val="26"/>
          <w:rtl/>
        </w:rPr>
        <w:t>ים בבתי הספר</w:t>
      </w:r>
      <w:r>
        <w:rPr>
          <w:sz w:val="26"/>
          <w:rtl/>
        </w:rPr>
        <w:t>, על מנת לשמור על מחויבות המדינה לתושביה, מחד גיסא, ועל היענות עקבית ומ</w:t>
      </w:r>
      <w:r>
        <w:rPr>
          <w:rFonts w:hint="cs"/>
          <w:sz w:val="26"/>
          <w:rtl/>
        </w:rPr>
        <w:t>רבית</w:t>
      </w:r>
      <w:r>
        <w:rPr>
          <w:sz w:val="26"/>
          <w:rtl/>
        </w:rPr>
        <w:t xml:space="preserve"> לצ</w:t>
      </w:r>
      <w:r>
        <w:rPr>
          <w:rFonts w:hint="cs"/>
          <w:sz w:val="26"/>
          <w:rtl/>
        </w:rPr>
        <w:t>ו</w:t>
      </w:r>
      <w:r>
        <w:rPr>
          <w:sz w:val="26"/>
          <w:rtl/>
        </w:rPr>
        <w:t>רכי התלמידים ולאיסוף מידע ברמה הלאומית, מאידך גיסא.</w:t>
      </w:r>
    </w:p>
    <w:p w14:paraId="3B60D417" w14:textId="77777777" w:rsidR="00A82EE1" w:rsidRPr="00FB7059" w:rsidRDefault="00A82EE1" w:rsidP="00A82EE1">
      <w:pPr>
        <w:pStyle w:val="Hesber"/>
        <w:rPr>
          <w:sz w:val="26"/>
          <w:rtl/>
        </w:rPr>
      </w:pPr>
      <w:r>
        <w:rPr>
          <w:sz w:val="26"/>
          <w:rtl/>
        </w:rPr>
        <w:t>חוק ביטוח בריאות ממלכתי, התשנ"ד–1994 (להלן – חוק ביטוח בריאות ממלכתי)</w:t>
      </w:r>
      <w:r>
        <w:rPr>
          <w:rFonts w:hint="cs"/>
          <w:sz w:val="26"/>
          <w:rtl/>
        </w:rPr>
        <w:t>,</w:t>
      </w:r>
      <w:r>
        <w:rPr>
          <w:sz w:val="26"/>
          <w:rtl/>
        </w:rPr>
        <w:t xml:space="preserve"> קובע ב</w:t>
      </w:r>
      <w:r>
        <w:rPr>
          <w:rFonts w:hint="cs"/>
          <w:sz w:val="26"/>
          <w:rtl/>
        </w:rPr>
        <w:t>פרט</w:t>
      </w:r>
      <w:r>
        <w:rPr>
          <w:sz w:val="26"/>
          <w:rtl/>
        </w:rPr>
        <w:t xml:space="preserve"> 1 לתוספת השלישית את השירותים שיינתנו על ידי המדינה בתחום הרפואה המונעת. ב</w:t>
      </w:r>
      <w:r>
        <w:rPr>
          <w:rFonts w:hint="cs"/>
          <w:sz w:val="26"/>
          <w:rtl/>
        </w:rPr>
        <w:t>פרט 1(7)</w:t>
      </w:r>
      <w:r>
        <w:rPr>
          <w:sz w:val="26"/>
          <w:rtl/>
        </w:rPr>
        <w:t xml:space="preserve"> כלולים השירותים ה</w:t>
      </w:r>
      <w:r>
        <w:rPr>
          <w:rFonts w:hint="cs"/>
          <w:sz w:val="26"/>
          <w:rtl/>
        </w:rPr>
        <w:t>באים</w:t>
      </w:r>
      <w:r>
        <w:rPr>
          <w:sz w:val="26"/>
          <w:rtl/>
        </w:rPr>
        <w:t xml:space="preserve">: </w:t>
      </w:r>
      <w:r w:rsidRPr="00FB7059">
        <w:rPr>
          <w:sz w:val="26"/>
          <w:rtl/>
        </w:rPr>
        <w:t>"</w:t>
      </w:r>
      <w:r w:rsidRPr="009447D0">
        <w:rPr>
          <w:sz w:val="26"/>
          <w:rtl/>
        </w:rPr>
        <w:t>בדיקות שיגרה, חיסונים כאמור בפסקה (4), מעקב והדרכה בידי רופא ואחות לתלמידים בבתי ספר</w:t>
      </w:r>
      <w:r w:rsidRPr="00FB7059">
        <w:rPr>
          <w:sz w:val="26"/>
          <w:rtl/>
        </w:rPr>
        <w:t>."</w:t>
      </w:r>
    </w:p>
    <w:p w14:paraId="0CB53D64" w14:textId="77777777" w:rsidR="00A82EE1" w:rsidRDefault="00A82EE1" w:rsidP="00A82EE1">
      <w:pPr>
        <w:pStyle w:val="Hesber"/>
        <w:rPr>
          <w:sz w:val="26"/>
          <w:rtl/>
        </w:rPr>
      </w:pPr>
      <w:r>
        <w:rPr>
          <w:sz w:val="26"/>
          <w:rtl/>
        </w:rPr>
        <w:t xml:space="preserve">סעיף 21א לחוק ביטוח בריאות ממלכתי קובע כי שירותי הבריאות לתלמיד המנויים בתוספת </w:t>
      </w:r>
      <w:r>
        <w:rPr>
          <w:sz w:val="26"/>
          <w:rtl/>
        </w:rPr>
        <w:lastRenderedPageBreak/>
        <w:t xml:space="preserve">השלישית </w:t>
      </w:r>
      <w:r>
        <w:rPr>
          <w:rFonts w:hint="cs"/>
          <w:sz w:val="26"/>
          <w:rtl/>
        </w:rPr>
        <w:t xml:space="preserve">בפרט </w:t>
      </w:r>
      <w:r>
        <w:rPr>
          <w:sz w:val="26"/>
          <w:rtl/>
        </w:rPr>
        <w:t xml:space="preserve">1(7), יינתנו בידי משרד הבריאות. בית המשפט העליון (בג"ץ 5012/97 </w:t>
      </w:r>
      <w:r>
        <w:rPr>
          <w:b/>
          <w:bCs/>
          <w:sz w:val="26"/>
          <w:rtl/>
        </w:rPr>
        <w:t>מתן שירותי בריאות סיעוד ורווחה בע"מ נ' משרד הבריאות</w:t>
      </w:r>
      <w:r>
        <w:rPr>
          <w:sz w:val="26"/>
          <w:rtl/>
        </w:rPr>
        <w:t>, פ"ד נב(1) 49</w:t>
      </w:r>
      <w:r>
        <w:rPr>
          <w:rFonts w:hint="cs"/>
          <w:sz w:val="26"/>
          <w:rtl/>
        </w:rPr>
        <w:t xml:space="preserve">, </w:t>
      </w:r>
      <w:r>
        <w:rPr>
          <w:sz w:val="26"/>
          <w:rtl/>
        </w:rPr>
        <w:t xml:space="preserve">עמ' 64) </w:t>
      </w:r>
      <w:r>
        <w:rPr>
          <w:rFonts w:hint="cs"/>
          <w:sz w:val="26"/>
          <w:rtl/>
        </w:rPr>
        <w:t xml:space="preserve">קבע </w:t>
      </w:r>
      <w:r>
        <w:rPr>
          <w:sz w:val="26"/>
          <w:rtl/>
        </w:rPr>
        <w:t xml:space="preserve">"שפירוש הוראת החוק הקובעת כי שירותי בריאות לתלמידים בבתי-ספר "יינתנו בידי משרד הבריאות" הוא – במהותו – זה, שמשרד הבריאות </w:t>
      </w:r>
      <w:r>
        <w:rPr>
          <w:b/>
          <w:bCs/>
          <w:sz w:val="26"/>
          <w:rtl/>
        </w:rPr>
        <w:t>ינהל</w:t>
      </w:r>
      <w:r>
        <w:rPr>
          <w:sz w:val="26"/>
          <w:rtl/>
        </w:rPr>
        <w:t xml:space="preserve"> אותם שירותי בריאות, שמשרד הבריאות יהיה </w:t>
      </w:r>
      <w:r>
        <w:rPr>
          <w:b/>
          <w:bCs/>
          <w:sz w:val="26"/>
          <w:rtl/>
        </w:rPr>
        <w:t>אחראי</w:t>
      </w:r>
      <w:r>
        <w:rPr>
          <w:sz w:val="26"/>
          <w:rtl/>
        </w:rPr>
        <w:t xml:space="preserve"> לנתינתם של אותם שירותים. יוזמי התיקון לא נתכוונו כלל כי עובדי משרד הבריאות – הם ורק הם – ייתנו אותם שירותים, ובלבד שמשרד הבריאות יהיה אחראי לנתינתם של השירותים... החוק בגלגוליו לא עניין עצמו אלא בשאלת האחריות, ולבסוף הנחית את האחריות על משרד הבריאות. ואולם</w:t>
      </w:r>
      <w:r>
        <w:rPr>
          <w:rFonts w:hint="cs"/>
          <w:sz w:val="26"/>
          <w:rtl/>
        </w:rPr>
        <w:t>,</w:t>
      </w:r>
      <w:r>
        <w:rPr>
          <w:sz w:val="26"/>
          <w:rtl/>
        </w:rPr>
        <w:t xml:space="preserve"> אין להסיק מכן כי נותני השירותים </w:t>
      </w:r>
      <w:r>
        <w:rPr>
          <w:b/>
          <w:bCs/>
          <w:sz w:val="26"/>
          <w:rtl/>
        </w:rPr>
        <w:t>בפועל</w:t>
      </w:r>
      <w:r>
        <w:rPr>
          <w:sz w:val="26"/>
          <w:rtl/>
        </w:rPr>
        <w:t xml:space="preserve"> חייבים שיהיו עובדי משרד הבריאות דווקא". </w:t>
      </w:r>
    </w:p>
    <w:p w14:paraId="2000E04D" w14:textId="77777777" w:rsidR="00A82EE1" w:rsidRDefault="00A82EE1" w:rsidP="00A82EE1">
      <w:pPr>
        <w:pStyle w:val="Hesber"/>
        <w:rPr>
          <w:sz w:val="26"/>
          <w:rtl/>
        </w:rPr>
      </w:pPr>
      <w:r>
        <w:rPr>
          <w:rFonts w:hint="cs"/>
          <w:sz w:val="26"/>
          <w:rtl/>
        </w:rPr>
        <w:t xml:space="preserve">מוצע </w:t>
      </w:r>
      <w:r>
        <w:rPr>
          <w:sz w:val="26"/>
          <w:rtl/>
        </w:rPr>
        <w:t xml:space="preserve">לשנות את המצב המשפטי, כפי שפורש כאמור על ידי בית המשפט העליון, ולקבוע במפורש כי משרד הבריאות ייתן שירותים אלו בעצמו, </w:t>
      </w:r>
      <w:r>
        <w:rPr>
          <w:rFonts w:hint="cs"/>
          <w:sz w:val="26"/>
          <w:rtl/>
        </w:rPr>
        <w:t>ו</w:t>
      </w:r>
      <w:r>
        <w:rPr>
          <w:sz w:val="26"/>
          <w:rtl/>
        </w:rPr>
        <w:t>לא באמצעות נותני שירותים.</w:t>
      </w:r>
    </w:p>
    <w:p w14:paraId="5CA99B93" w14:textId="77777777" w:rsidR="00A82EE1" w:rsidRDefault="00A82EE1" w:rsidP="00A82EE1">
      <w:pPr>
        <w:pStyle w:val="Hesber"/>
        <w:rPr>
          <w:sz w:val="26"/>
          <w:rtl/>
        </w:rPr>
      </w:pPr>
      <w:r>
        <w:rPr>
          <w:sz w:val="26"/>
          <w:rtl/>
        </w:rPr>
        <w:t>לאחר הפרטת שירותי בריאות התלמיד, זכתה חברה במכרז ובהמשך הופסקה עבודתה עקב תפקוד לקוי ולא תקין</w:t>
      </w:r>
      <w:r>
        <w:rPr>
          <w:rFonts w:hint="cs"/>
          <w:sz w:val="26"/>
          <w:rtl/>
        </w:rPr>
        <w:t>.</w:t>
      </w:r>
      <w:r>
        <w:rPr>
          <w:sz w:val="26"/>
          <w:rtl/>
        </w:rPr>
        <w:t xml:space="preserve"> לאחר מכן זכתה חברה</w:t>
      </w:r>
      <w:r>
        <w:rPr>
          <w:rFonts w:hint="cs"/>
          <w:sz w:val="26"/>
          <w:rtl/>
        </w:rPr>
        <w:t xml:space="preserve"> נוספת</w:t>
      </w:r>
      <w:r>
        <w:rPr>
          <w:sz w:val="26"/>
          <w:rtl/>
        </w:rPr>
        <w:t xml:space="preserve"> במכרז וגם עבודתה הופסקה בעקבות כשלים רבים שנתגלו.</w:t>
      </w:r>
    </w:p>
    <w:p w14:paraId="71C239AE" w14:textId="77777777" w:rsidR="00A82EE1" w:rsidRDefault="00A82EE1" w:rsidP="00A82EE1">
      <w:pPr>
        <w:pStyle w:val="Hesber"/>
        <w:rPr>
          <w:sz w:val="26"/>
          <w:rtl/>
        </w:rPr>
      </w:pPr>
      <w:r>
        <w:rPr>
          <w:sz w:val="26"/>
          <w:rtl/>
        </w:rPr>
        <w:t xml:space="preserve">מאז תחילת עידן ההפרטה של שירות זה, נוצרו פערים במתן השירות לתלמיד, שהלכו והתרחבו </w:t>
      </w:r>
      <w:r>
        <w:rPr>
          <w:rFonts w:hint="cs"/>
          <w:sz w:val="26"/>
          <w:rtl/>
        </w:rPr>
        <w:t xml:space="preserve">במעבר </w:t>
      </w:r>
      <w:r>
        <w:rPr>
          <w:sz w:val="26"/>
          <w:rtl/>
        </w:rPr>
        <w:t>מזכיין לזכיין</w:t>
      </w:r>
      <w:r>
        <w:rPr>
          <w:rFonts w:hint="cs"/>
          <w:sz w:val="26"/>
          <w:rtl/>
        </w:rPr>
        <w:t>. ל</w:t>
      </w:r>
      <w:r>
        <w:rPr>
          <w:sz w:val="26"/>
          <w:rtl/>
        </w:rPr>
        <w:t xml:space="preserve">הפרטת שירותי בריאות התלמיד </w:t>
      </w:r>
      <w:r>
        <w:rPr>
          <w:rFonts w:hint="cs"/>
          <w:sz w:val="26"/>
          <w:rtl/>
        </w:rPr>
        <w:t xml:space="preserve">עלות גבוהה והותרת המצב במתכונתו הנוכחית מהווה סכנה לבריאות התלמידים. </w:t>
      </w:r>
      <w:r>
        <w:rPr>
          <w:sz w:val="26"/>
          <w:rtl/>
        </w:rPr>
        <w:t>על משרד הבריאות להחזיר לאלתר את אחיות בית הספר במתכונת הישנה, האחראית והטובה, שהוכיחה את עצמה לאורך שנים.</w:t>
      </w:r>
    </w:p>
    <w:p w14:paraId="432BBBE6" w14:textId="77777777" w:rsidR="00A82EE1" w:rsidRPr="003D5C4F" w:rsidRDefault="00A82EE1" w:rsidP="00A82EE1">
      <w:pPr>
        <w:pStyle w:val="Hesber"/>
        <w:rPr>
          <w:sz w:val="26"/>
          <w:rtl/>
        </w:rPr>
      </w:pPr>
      <w:r>
        <w:rPr>
          <w:sz w:val="26"/>
          <w:rtl/>
        </w:rPr>
        <w:t xml:space="preserve">לדעת המציעים, הצעת החוק תביא לשיפור בשירותי הרפואה המונעת הניתנים לתלמידים בבתי ספר ולבריאות </w:t>
      </w:r>
      <w:r w:rsidRPr="003D5C4F">
        <w:rPr>
          <w:sz w:val="26"/>
          <w:rtl/>
        </w:rPr>
        <w:t>האוכלוסייה, בטווח המיידי והרחוק.</w:t>
      </w:r>
    </w:p>
    <w:p w14:paraId="7FD451C6" w14:textId="63D4D0D1" w:rsidR="00A82EE1" w:rsidRPr="003D5C4F" w:rsidRDefault="00A82EE1" w:rsidP="002F3148">
      <w:pPr>
        <w:pStyle w:val="Hesber"/>
        <w:rPr>
          <w:sz w:val="26"/>
          <w:rtl/>
        </w:rPr>
      </w:pPr>
      <w:r w:rsidRPr="003D5C4F">
        <w:rPr>
          <w:sz w:val="26"/>
          <w:rtl/>
        </w:rPr>
        <w:t>הצעות חוק דומות בעיקרן הונחו על שולחן הכנסת השבע-עשרה על ידי חבר הכנסת דב חנין וקבוצת חברי הכנסת (פ/2416/17</w:t>
      </w:r>
      <w:r w:rsidRPr="003D5C4F">
        <w:rPr>
          <w:rFonts w:hint="cs"/>
          <w:sz w:val="26"/>
          <w:rtl/>
        </w:rPr>
        <w:t>)</w:t>
      </w:r>
      <w:r>
        <w:rPr>
          <w:rFonts w:hint="cs"/>
          <w:sz w:val="26"/>
          <w:rtl/>
        </w:rPr>
        <w:t xml:space="preserve">, </w:t>
      </w:r>
      <w:r w:rsidRPr="003D5C4F">
        <w:rPr>
          <w:rFonts w:hint="cs"/>
          <w:sz w:val="26"/>
          <w:rtl/>
        </w:rPr>
        <w:t xml:space="preserve">על שולחן הכנסת השמונה-עשרה על ידי </w:t>
      </w:r>
      <w:r w:rsidRPr="003D5C4F">
        <w:rPr>
          <w:sz w:val="26"/>
          <w:rtl/>
        </w:rPr>
        <w:t xml:space="preserve">חבר הכנסת דב חנין וקבוצת חברי הכנסת </w:t>
      </w:r>
      <w:r w:rsidRPr="003D5C4F">
        <w:rPr>
          <w:rFonts w:hint="cs"/>
          <w:sz w:val="26"/>
          <w:rtl/>
        </w:rPr>
        <w:t>(</w:t>
      </w:r>
      <w:r w:rsidRPr="003D5C4F">
        <w:rPr>
          <w:sz w:val="26"/>
          <w:rtl/>
        </w:rPr>
        <w:t>פ/1522/18)</w:t>
      </w:r>
      <w:r w:rsidRPr="003D5C4F">
        <w:rPr>
          <w:rFonts w:hint="cs"/>
          <w:sz w:val="26"/>
          <w:rtl/>
        </w:rPr>
        <w:t xml:space="preserve">, </w:t>
      </w:r>
      <w:r w:rsidR="002B6743" w:rsidRPr="003D5C4F">
        <w:rPr>
          <w:sz w:val="26"/>
          <w:rtl/>
        </w:rPr>
        <w:t>על ידי חברי הכנסת אורלי לוי אבקסיס וחיים כץ (פ/3156/18)</w:t>
      </w:r>
      <w:r w:rsidR="002B6743">
        <w:rPr>
          <w:rFonts w:hint="cs"/>
          <w:sz w:val="26"/>
          <w:rtl/>
        </w:rPr>
        <w:t xml:space="preserve">, </w:t>
      </w:r>
      <w:r w:rsidRPr="003D5C4F">
        <w:rPr>
          <w:rFonts w:hint="cs"/>
          <w:sz w:val="26"/>
          <w:rtl/>
        </w:rPr>
        <w:t xml:space="preserve">על ידי </w:t>
      </w:r>
      <w:r w:rsidR="004142C5" w:rsidRPr="003D5C4F">
        <w:rPr>
          <w:rFonts w:hint="cs"/>
          <w:sz w:val="26"/>
          <w:rtl/>
        </w:rPr>
        <w:t>חבר הכנסת אריה אלדד (פ/3294/18)</w:t>
      </w:r>
      <w:r w:rsidR="003D27AF">
        <w:rPr>
          <w:rFonts w:hint="cs"/>
          <w:sz w:val="26"/>
          <w:rtl/>
        </w:rPr>
        <w:t>,</w:t>
      </w:r>
      <w:r w:rsidR="004142C5">
        <w:rPr>
          <w:rFonts w:hint="cs"/>
          <w:sz w:val="26"/>
          <w:rtl/>
        </w:rPr>
        <w:t xml:space="preserve"> על ידי </w:t>
      </w:r>
      <w:r w:rsidRPr="003D5C4F">
        <w:rPr>
          <w:rFonts w:hint="cs"/>
          <w:sz w:val="26"/>
          <w:rtl/>
        </w:rPr>
        <w:t xml:space="preserve">חברת הכנסת שלי יחימוביץ' וקבוצת חברי הכנסת (פ/3343/18) </w:t>
      </w:r>
      <w:r w:rsidR="003D27AF">
        <w:rPr>
          <w:rFonts w:hint="cs"/>
          <w:sz w:val="26"/>
          <w:rtl/>
        </w:rPr>
        <w:t>ו</w:t>
      </w:r>
      <w:r w:rsidR="003D27AF" w:rsidRPr="003D5C4F">
        <w:rPr>
          <w:sz w:val="26"/>
          <w:rtl/>
        </w:rPr>
        <w:t>על ידי חבר הכנסת דב חנין וקבוצת חברי הכנסת (פ/3894/18</w:t>
      </w:r>
      <w:r w:rsidR="003D27AF">
        <w:rPr>
          <w:rFonts w:hint="cs"/>
          <w:sz w:val="26"/>
          <w:rtl/>
        </w:rPr>
        <w:t>)</w:t>
      </w:r>
      <w:r>
        <w:rPr>
          <w:rFonts w:hint="cs"/>
          <w:sz w:val="26"/>
          <w:rtl/>
        </w:rPr>
        <w:t>,</w:t>
      </w:r>
      <w:r w:rsidRPr="003D5C4F">
        <w:rPr>
          <w:rFonts w:hint="cs"/>
          <w:sz w:val="26"/>
          <w:rtl/>
        </w:rPr>
        <w:t xml:space="preserve"> ועל שולחן הכנסת התשע-עשרה </w:t>
      </w:r>
      <w:r w:rsidR="003D27AF" w:rsidRPr="003D5C4F">
        <w:rPr>
          <w:rFonts w:hint="cs"/>
          <w:sz w:val="26"/>
          <w:rtl/>
        </w:rPr>
        <w:t xml:space="preserve">על ידי חבר הכנסת דב חנין וקבוצת חברי הכנסת (פ/221/19), </w:t>
      </w:r>
      <w:r w:rsidRPr="003D5C4F">
        <w:rPr>
          <w:rFonts w:hint="cs"/>
          <w:sz w:val="26"/>
          <w:rtl/>
        </w:rPr>
        <w:t>על ידי חברת הכנסת שלי יחימוביץ' וקבוצת חברי הכנסת (פ/652/19)</w:t>
      </w:r>
      <w:r w:rsidR="007F152B">
        <w:rPr>
          <w:rFonts w:hint="cs"/>
          <w:sz w:val="26"/>
          <w:rtl/>
        </w:rPr>
        <w:t xml:space="preserve">, </w:t>
      </w:r>
      <w:r w:rsidR="007F152B" w:rsidRPr="003D5C4F">
        <w:rPr>
          <w:rFonts w:hint="cs"/>
          <w:sz w:val="26"/>
          <w:rtl/>
        </w:rPr>
        <w:t>על ידי חברת הכנסת אורלי לוי אבקסיס (פ</w:t>
      </w:r>
      <w:r w:rsidR="007F152B">
        <w:rPr>
          <w:rFonts w:hint="cs"/>
          <w:sz w:val="26"/>
          <w:rtl/>
        </w:rPr>
        <w:t>/</w:t>
      </w:r>
      <w:r w:rsidR="007F152B" w:rsidRPr="003D5C4F">
        <w:rPr>
          <w:rFonts w:hint="cs"/>
          <w:sz w:val="26"/>
          <w:rtl/>
        </w:rPr>
        <w:t>829/19)</w:t>
      </w:r>
      <w:r w:rsidR="00687D3A" w:rsidRPr="00687D3A">
        <w:rPr>
          <w:rFonts w:hint="cs"/>
          <w:sz w:val="26"/>
          <w:rtl/>
        </w:rPr>
        <w:t xml:space="preserve"> </w:t>
      </w:r>
      <w:r w:rsidR="00687D3A" w:rsidRPr="003D5C4F">
        <w:rPr>
          <w:rFonts w:hint="cs"/>
          <w:sz w:val="26"/>
          <w:rtl/>
        </w:rPr>
        <w:t xml:space="preserve">ועל ידי חברי הכנסת מיקי </w:t>
      </w:r>
      <w:r w:rsidR="00687D3A">
        <w:rPr>
          <w:rFonts w:hint="cs"/>
          <w:sz w:val="26"/>
          <w:rtl/>
        </w:rPr>
        <w:t>רוז</w:t>
      </w:r>
      <w:r w:rsidR="0000645B">
        <w:rPr>
          <w:rFonts w:hint="cs"/>
          <w:sz w:val="26"/>
          <w:rtl/>
        </w:rPr>
        <w:t>נטל ואילן גילאון (פ/1522/19).</w:t>
      </w:r>
    </w:p>
    <w:p w14:paraId="0F52165D" w14:textId="287E8F76" w:rsidR="00A82EE1" w:rsidRDefault="00A82EE1" w:rsidP="00C816EA">
      <w:pPr>
        <w:pStyle w:val="Hesber"/>
        <w:rPr>
          <w:sz w:val="24"/>
          <w:szCs w:val="24"/>
          <w:rtl/>
        </w:rPr>
      </w:pPr>
      <w:r w:rsidRPr="003D5C4F">
        <w:rPr>
          <w:sz w:val="26"/>
          <w:rtl/>
        </w:rPr>
        <w:t xml:space="preserve">הצעות חוק זהות הונחו על שולחן הכנסת </w:t>
      </w:r>
      <w:r>
        <w:rPr>
          <w:rFonts w:hint="cs"/>
          <w:sz w:val="26"/>
          <w:rtl/>
        </w:rPr>
        <w:t>העשרים על ידי חבר הכנסת מיקי רוזנטל (פ/292/20)</w:t>
      </w:r>
      <w:r w:rsidR="00371846">
        <w:rPr>
          <w:rFonts w:hint="cs"/>
          <w:sz w:val="26"/>
          <w:rtl/>
        </w:rPr>
        <w:t>,</w:t>
      </w:r>
      <w:r>
        <w:rPr>
          <w:rFonts w:hint="cs"/>
          <w:sz w:val="26"/>
          <w:rtl/>
        </w:rPr>
        <w:t xml:space="preserve"> על ידי חברת הכנסת אורלי לוי אבקסיס (פ/295/20) ועל ידי חבר הכנסת דב חנין וקב</w:t>
      </w:r>
      <w:r w:rsidR="00371846">
        <w:rPr>
          <w:rFonts w:hint="cs"/>
          <w:sz w:val="26"/>
          <w:rtl/>
        </w:rPr>
        <w:t xml:space="preserve">וצת </w:t>
      </w:r>
      <w:r>
        <w:rPr>
          <w:rFonts w:hint="cs"/>
          <w:sz w:val="26"/>
          <w:rtl/>
        </w:rPr>
        <w:t xml:space="preserve">חברי </w:t>
      </w:r>
      <w:r w:rsidR="00371846">
        <w:rPr>
          <w:rFonts w:hint="cs"/>
          <w:sz w:val="26"/>
          <w:rtl/>
        </w:rPr>
        <w:t>ה</w:t>
      </w:r>
      <w:r>
        <w:rPr>
          <w:rFonts w:hint="cs"/>
          <w:sz w:val="26"/>
          <w:rtl/>
        </w:rPr>
        <w:t>כנסת (פ/300/20).</w:t>
      </w:r>
    </w:p>
    <w:p w14:paraId="3D2FE6F9" w14:textId="77777777" w:rsidR="0000645B" w:rsidRPr="00D73212" w:rsidRDefault="0000645B" w:rsidP="0000645B">
      <w:pPr>
        <w:pStyle w:val="Hesber"/>
        <w:rPr>
          <w:rtl/>
        </w:rPr>
      </w:pPr>
      <w:r w:rsidRPr="00D73212">
        <w:rPr>
          <w:rtl/>
        </w:rPr>
        <w:t>---------------------------------</w:t>
      </w:r>
    </w:p>
    <w:p w14:paraId="71BCADCE" w14:textId="77777777" w:rsidR="0000645B" w:rsidRPr="00D73212" w:rsidRDefault="0000645B" w:rsidP="0000645B">
      <w:pPr>
        <w:pStyle w:val="Hesber"/>
        <w:rPr>
          <w:rtl/>
        </w:rPr>
      </w:pPr>
      <w:r w:rsidRPr="00D73212">
        <w:rPr>
          <w:rFonts w:hint="cs"/>
          <w:rtl/>
        </w:rPr>
        <w:t>הוגשה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ליו</w:t>
      </w:r>
      <w:r w:rsidRPr="00D73212">
        <w:rPr>
          <w:rtl/>
        </w:rPr>
        <w:t>"</w:t>
      </w:r>
      <w:r w:rsidRPr="00D73212">
        <w:rPr>
          <w:rFonts w:hint="cs"/>
          <w:rtl/>
        </w:rPr>
        <w:t>ר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הכנסת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והסגנים</w:t>
      </w:r>
    </w:p>
    <w:p w14:paraId="6E649F62" w14:textId="77777777" w:rsidR="0000645B" w:rsidRPr="00D73212" w:rsidRDefault="0000645B" w:rsidP="0000645B">
      <w:pPr>
        <w:pStyle w:val="Hesber"/>
        <w:rPr>
          <w:rtl/>
        </w:rPr>
      </w:pPr>
      <w:r w:rsidRPr="00D73212">
        <w:rPr>
          <w:rFonts w:hint="cs"/>
          <w:rtl/>
        </w:rPr>
        <w:t>והונחה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על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שולחן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הכנסת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ביום</w:t>
      </w:r>
    </w:p>
    <w:p w14:paraId="25437401" w14:textId="77777777" w:rsidR="0000645B" w:rsidRPr="00317312" w:rsidRDefault="0000645B" w:rsidP="0000645B">
      <w:pPr>
        <w:pStyle w:val="Hesber"/>
      </w:pPr>
      <w:r>
        <w:rPr>
          <w:rFonts w:hint="cs"/>
          <w:rtl/>
        </w:rPr>
        <w:t>ט"ו באייר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התשע</w:t>
      </w:r>
      <w:r w:rsidRPr="00D73212">
        <w:rPr>
          <w:rtl/>
        </w:rPr>
        <w:t>"</w:t>
      </w:r>
      <w:r>
        <w:rPr>
          <w:rFonts w:hint="cs"/>
          <w:rtl/>
        </w:rPr>
        <w:t xml:space="preserve">ט </w:t>
      </w:r>
      <w:r w:rsidRPr="00D73212">
        <w:rPr>
          <w:rtl/>
        </w:rPr>
        <w:t>–</w:t>
      </w:r>
      <w:r>
        <w:rPr>
          <w:rFonts w:hint="cs"/>
          <w:rtl/>
        </w:rPr>
        <w:t xml:space="preserve"> 20.5</w:t>
      </w:r>
      <w:r w:rsidRPr="00D73212">
        <w:rPr>
          <w:rtl/>
        </w:rPr>
        <w:t>.</w:t>
      </w:r>
      <w:r>
        <w:rPr>
          <w:rFonts w:hint="cs"/>
          <w:rtl/>
        </w:rPr>
        <w:t xml:space="preserve">19  </w:t>
      </w:r>
    </w:p>
    <w:p w14:paraId="765BDCBB" w14:textId="77777777" w:rsidR="0000645B" w:rsidRPr="0000645B" w:rsidRDefault="0000645B" w:rsidP="00C816EA">
      <w:pPr>
        <w:pStyle w:val="Hesber"/>
        <w:rPr>
          <w:sz w:val="24"/>
          <w:szCs w:val="24"/>
          <w:rtl/>
        </w:rPr>
      </w:pPr>
    </w:p>
    <w:p w14:paraId="5B30A3F5" w14:textId="77777777" w:rsidR="00A82EE1" w:rsidRDefault="00A82EE1" w:rsidP="00A82EE1">
      <w:pPr>
        <w:pStyle w:val="Hesber"/>
        <w:rPr>
          <w:rtl/>
        </w:rPr>
      </w:pPr>
    </w:p>
    <w:p w14:paraId="7F6961CB" w14:textId="77777777" w:rsidR="00E13C27" w:rsidRDefault="00E13C27" w:rsidP="00E13C27">
      <w:pPr>
        <w:pStyle w:val="Hesber"/>
        <w:rPr>
          <w:rtl/>
        </w:rPr>
      </w:pPr>
    </w:p>
    <w:sectPr w:rsidR="00E13C27" w:rsidSect="00467123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41796F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58801B7D" w14:textId="77777777" w:rsidR="00A82EE1" w:rsidRDefault="00A82EE1" w:rsidP="00A82EE1">
      <w:pPr>
        <w:pStyle w:val="a4"/>
      </w:pPr>
      <w:r>
        <w:rPr>
          <w:rStyle w:val="a6"/>
        </w:rPr>
        <w:footnoteRef/>
      </w:r>
      <w:r>
        <w:rPr>
          <w:sz w:val="20"/>
          <w:rtl/>
        </w:rPr>
        <w:t xml:space="preserve"> ס"ח התשנ"ד, עמ' 156.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0645B"/>
    <w:rsid w:val="00015B27"/>
    <w:rsid w:val="00042DAF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B6743"/>
    <w:rsid w:val="002C2E29"/>
    <w:rsid w:val="002C3041"/>
    <w:rsid w:val="002D1EE3"/>
    <w:rsid w:val="002F1D80"/>
    <w:rsid w:val="002F3148"/>
    <w:rsid w:val="00317464"/>
    <w:rsid w:val="003232A2"/>
    <w:rsid w:val="00325C14"/>
    <w:rsid w:val="0036422C"/>
    <w:rsid w:val="003710F6"/>
    <w:rsid w:val="00371846"/>
    <w:rsid w:val="00386E88"/>
    <w:rsid w:val="00396585"/>
    <w:rsid w:val="003D27AF"/>
    <w:rsid w:val="003D6E38"/>
    <w:rsid w:val="003D74A0"/>
    <w:rsid w:val="004033D8"/>
    <w:rsid w:val="004073F0"/>
    <w:rsid w:val="00412A7D"/>
    <w:rsid w:val="004142C5"/>
    <w:rsid w:val="00416B4D"/>
    <w:rsid w:val="0041796F"/>
    <w:rsid w:val="00417CFC"/>
    <w:rsid w:val="00467123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87D3A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7F152B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601"/>
    <w:rsid w:val="00923CD4"/>
    <w:rsid w:val="00930EFE"/>
    <w:rsid w:val="00943386"/>
    <w:rsid w:val="009456B6"/>
    <w:rsid w:val="00957589"/>
    <w:rsid w:val="00966D06"/>
    <w:rsid w:val="0097153A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82EE1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023E"/>
    <w:rsid w:val="00C23B1A"/>
    <w:rsid w:val="00C310EB"/>
    <w:rsid w:val="00C816EA"/>
    <w:rsid w:val="00C9176A"/>
    <w:rsid w:val="00CE35FD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C7095"/>
    <w:rsid w:val="00ED4A6F"/>
    <w:rsid w:val="00EF3A3A"/>
    <w:rsid w:val="00F628D6"/>
    <w:rsid w:val="00F67051"/>
    <w:rsid w:val="00F764CF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34F00110-B4B4-4CB7-A15F-42D88800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123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67123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467123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467123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467123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67123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467123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467123"/>
    <w:rPr>
      <w:sz w:val="36"/>
      <w:szCs w:val="52"/>
    </w:rPr>
  </w:style>
  <w:style w:type="paragraph" w:customStyle="1" w:styleId="Cover3-Haknesset">
    <w:name w:val="Cover 3-Haknesset"/>
    <w:basedOn w:val="Cover1-Reshumot"/>
    <w:rsid w:val="00467123"/>
    <w:rPr>
      <w:b/>
      <w:bCs/>
      <w:spacing w:val="60"/>
    </w:rPr>
  </w:style>
  <w:style w:type="paragraph" w:customStyle="1" w:styleId="Cover4-Date">
    <w:name w:val="Cover 4-Date"/>
    <w:basedOn w:val="a"/>
    <w:rsid w:val="00467123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467123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467123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467123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467123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467123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467123"/>
    <w:pPr>
      <w:outlineLvl w:val="2"/>
    </w:pPr>
  </w:style>
  <w:style w:type="paragraph" w:customStyle="1" w:styleId="TableBlock">
    <w:name w:val="Table Block"/>
    <w:basedOn w:val="TableText"/>
    <w:rsid w:val="00467123"/>
    <w:pPr>
      <w:jc w:val="both"/>
    </w:pPr>
  </w:style>
  <w:style w:type="paragraph" w:customStyle="1" w:styleId="TableHead">
    <w:name w:val="Table Head"/>
    <w:basedOn w:val="TableText"/>
    <w:rsid w:val="00467123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467123"/>
    <w:pPr>
      <w:outlineLvl w:val="9"/>
    </w:pPr>
  </w:style>
  <w:style w:type="paragraph" w:customStyle="1" w:styleId="Hesber">
    <w:name w:val="Hesber"/>
    <w:basedOn w:val="a"/>
    <w:rsid w:val="00467123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link w:val="a5"/>
    <w:autoRedefine/>
    <w:rsid w:val="00467123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6">
    <w:name w:val="footnote reference"/>
    <w:aliases w:val="Footnote Reference"/>
    <w:basedOn w:val="a0"/>
    <w:rsid w:val="00467123"/>
    <w:rPr>
      <w:vertAlign w:val="superscript"/>
    </w:rPr>
  </w:style>
  <w:style w:type="paragraph" w:customStyle="1" w:styleId="HesberHeading">
    <w:name w:val="Hesber Heading"/>
    <w:basedOn w:val="Hesber"/>
    <w:rsid w:val="00467123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467123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467123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467123"/>
    <w:rPr>
      <w:vertAlign w:val="superscript"/>
    </w:rPr>
  </w:style>
  <w:style w:type="paragraph" w:customStyle="1" w:styleId="TableBlockOutdent">
    <w:name w:val="Table BlockOutdent"/>
    <w:basedOn w:val="TableBlock"/>
    <w:rsid w:val="00467123"/>
    <w:pPr>
      <w:ind w:left="624" w:hanging="624"/>
    </w:pPr>
  </w:style>
  <w:style w:type="paragraph" w:styleId="a8">
    <w:name w:val="header"/>
    <w:basedOn w:val="a"/>
    <w:rsid w:val="00467123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467123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467123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467123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b">
    <w:name w:val="page number"/>
    <w:basedOn w:val="a0"/>
    <w:rsid w:val="00467123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rsid w:val="00A82EE1"/>
    <w:rPr>
      <w:rFonts w:ascii="Arial" w:eastAsia="Arial Unicode MS" w:hAnsi="Arial" w:cs="David"/>
      <w:snapToGrid w:val="0"/>
      <w:sz w:val="14"/>
    </w:rPr>
  </w:style>
  <w:style w:type="character" w:customStyle="1" w:styleId="10">
    <w:name w:val="כותרת 1 תו"/>
    <w:basedOn w:val="a0"/>
    <w:link w:val="1"/>
    <w:uiPriority w:val="9"/>
    <w:rsid w:val="00467123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467123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467123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467123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467123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467123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467123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467123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467123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467123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467123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467123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467123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467123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467123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467123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467123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467123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467123"/>
    <w:rPr>
      <w:rFonts w:eastAsia="Times New Roman"/>
    </w:rPr>
  </w:style>
  <w:style w:type="paragraph" w:styleId="af">
    <w:name w:val="List Paragraph"/>
    <w:basedOn w:val="a"/>
    <w:uiPriority w:val="34"/>
    <w:qFormat/>
    <w:rsid w:val="00467123"/>
    <w:pPr>
      <w:widowControl/>
      <w:spacing w:line="259" w:lineRule="auto"/>
    </w:pPr>
    <w:rPr>
      <w:rFonts w:asciiTheme="minorHAnsi" w:hAnsiTheme="minorHAnsi"/>
      <w:sz w:val="22"/>
    </w:rPr>
  </w:style>
  <w:style w:type="table" w:styleId="af0">
    <w:name w:val="Table Grid"/>
    <w:basedOn w:val="a1"/>
    <w:rsid w:val="00467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46712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46712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1">
    <w:name w:val="טבלת חקיקה"/>
    <w:basedOn w:val="a1"/>
    <w:uiPriority w:val="99"/>
    <w:rsid w:val="00467123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467123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97467741CB98040970A6DBBC195775F" ma:contentTypeVersion="" ma:contentTypeDescription="צור מסמך חדש." ma:contentTypeScope="" ma:versionID="6e55fc6acbead604c2f45a2c1dd207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68FA7-4B60-4F26-BCD5-D331848F3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824CCE-4BBC-4CA7-BB16-DBED3FE38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650</Words>
  <Characters>3252</Characters>
  <Application>Microsoft Office Word</Application>
  <DocSecurity>0</DocSecurity>
  <Lines>27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אילת וולברג</cp:lastModifiedBy>
  <cp:revision>20</cp:revision>
  <cp:lastPrinted>2019-05-14T09:13:00Z</cp:lastPrinted>
  <dcterms:created xsi:type="dcterms:W3CDTF">2015-04-20T09:58:00Z</dcterms:created>
  <dcterms:modified xsi:type="dcterms:W3CDTF">2019-05-19T06:12:00Z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0x010100697467741CB98040970A6DBBC195775F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2078629</vt:r8>
  </property>
</Properties>
</file>