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2078611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מאיר כהן</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אלעזר שטרן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67F016B"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AD5BC5">
        <w:rPr>
          <w:rtl/>
        </w:rPr>
        <w:tab/>
      </w:r>
      <w:r>
        <w:rPr>
          <w:rFonts w:hint="cs"/>
          <w:rtl/>
        </w:rPr>
        <w:t>פ/9/21</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שלילת תקצוב מוסדות חינוך המפלים תלמידים ברישום אליהם (תיקוני חקיקה), התשע"ט–2019 </w:t>
      </w:r>
      <w:bookmarkEnd w:id="7"/>
    </w:p>
    <w:p w14:paraId="17E9B0E8" w14:textId="77777777" w:rsidR="008F433A" w:rsidRDefault="008F433A" w:rsidP="008F4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8F433A" w14:paraId="3D91A8D7" w14:textId="77777777" w:rsidTr="00C021FA">
        <w:trPr>
          <w:cantSplit/>
        </w:trPr>
        <w:tc>
          <w:tcPr>
            <w:tcW w:w="1871" w:type="dxa"/>
            <w:hideMark/>
          </w:tcPr>
          <w:p w14:paraId="7B347025" w14:textId="77777777" w:rsidR="008F433A" w:rsidRPr="00E41F92" w:rsidRDefault="008F433A" w:rsidP="00900091">
            <w:pPr>
              <w:pStyle w:val="TableSideHeading"/>
            </w:pPr>
            <w:r>
              <w:rPr>
                <w:rtl/>
              </w:rPr>
              <w:t>תיקון חוק לימוד חובה</w:t>
            </w:r>
          </w:p>
        </w:tc>
        <w:tc>
          <w:tcPr>
            <w:tcW w:w="624" w:type="dxa"/>
            <w:hideMark/>
          </w:tcPr>
          <w:p w14:paraId="25BF40AA" w14:textId="77777777" w:rsidR="008F433A" w:rsidRDefault="008F433A" w:rsidP="00900091">
            <w:pPr>
              <w:pStyle w:val="TableText"/>
              <w:rPr>
                <w:rtl/>
              </w:rPr>
            </w:pPr>
            <w:r>
              <w:rPr>
                <w:rtl/>
              </w:rPr>
              <w:t>1.</w:t>
            </w:r>
          </w:p>
        </w:tc>
        <w:tc>
          <w:tcPr>
            <w:tcW w:w="7143" w:type="dxa"/>
            <w:hideMark/>
          </w:tcPr>
          <w:p w14:paraId="35209219" w14:textId="77777777" w:rsidR="008F433A" w:rsidRDefault="008F433A" w:rsidP="00C021FA">
            <w:pPr>
              <w:pStyle w:val="TableBlock"/>
            </w:pPr>
            <w:r>
              <w:rPr>
                <w:rtl/>
              </w:rPr>
              <w:t>בחוק לימוד חובה, התש"ט–1949</w:t>
            </w:r>
            <w:r w:rsidRPr="00C021FA">
              <w:rPr>
                <w:rStyle w:val="a6"/>
                <w:rFonts w:ascii="David" w:hAnsi="David"/>
                <w:sz w:val="26"/>
                <w:rtl/>
              </w:rPr>
              <w:footnoteReference w:id="2"/>
            </w:r>
            <w:r>
              <w:rPr>
                <w:rtl/>
              </w:rPr>
              <w:t>, בסעיף 10א, בסופו יבוא:</w:t>
            </w:r>
          </w:p>
        </w:tc>
      </w:tr>
      <w:tr w:rsidR="008F433A" w14:paraId="7BE9BB84" w14:textId="77777777" w:rsidTr="00C021FA">
        <w:trPr>
          <w:cantSplit/>
        </w:trPr>
        <w:tc>
          <w:tcPr>
            <w:tcW w:w="1871" w:type="dxa"/>
          </w:tcPr>
          <w:p w14:paraId="18071F31" w14:textId="77777777" w:rsidR="008F433A" w:rsidRDefault="008F433A" w:rsidP="00900091">
            <w:pPr>
              <w:pStyle w:val="TableSideHeading"/>
              <w:keepLines w:val="0"/>
            </w:pPr>
          </w:p>
        </w:tc>
        <w:tc>
          <w:tcPr>
            <w:tcW w:w="624" w:type="dxa"/>
          </w:tcPr>
          <w:p w14:paraId="64446188" w14:textId="77777777" w:rsidR="008F433A" w:rsidRDefault="008F433A" w:rsidP="00900091">
            <w:pPr>
              <w:pStyle w:val="TableText"/>
              <w:rPr>
                <w:rtl/>
              </w:rPr>
            </w:pPr>
          </w:p>
        </w:tc>
        <w:tc>
          <w:tcPr>
            <w:tcW w:w="7143" w:type="dxa"/>
            <w:hideMark/>
          </w:tcPr>
          <w:p w14:paraId="2E5E8A3B" w14:textId="77777777" w:rsidR="008F433A" w:rsidRDefault="008F433A" w:rsidP="00C021FA">
            <w:pPr>
              <w:pStyle w:val="TableBlock"/>
            </w:pPr>
            <w:r>
              <w:rPr>
                <w:rtl/>
              </w:rPr>
              <w:t>"ובלבד שלא קיימת במוסד פטור הפלית תלמידים האסורה לפי סעיף 5(א) לחוק זכויות התלמיד, התשס"א–2000</w:t>
            </w:r>
            <w:r w:rsidRPr="00C021FA">
              <w:rPr>
                <w:rStyle w:val="a6"/>
                <w:rFonts w:ascii="David" w:hAnsi="David"/>
                <w:sz w:val="26"/>
                <w:rtl/>
              </w:rPr>
              <w:footnoteReference w:id="3"/>
            </w:r>
            <w:r>
              <w:rPr>
                <w:rFonts w:hint="cs"/>
                <w:rtl/>
              </w:rPr>
              <w:t>.</w:t>
            </w:r>
            <w:r>
              <w:rPr>
                <w:rtl/>
              </w:rPr>
              <w:t>"</w:t>
            </w:r>
          </w:p>
        </w:tc>
      </w:tr>
      <w:tr w:rsidR="008F433A" w14:paraId="3316AEC4" w14:textId="77777777" w:rsidTr="00C021FA">
        <w:trPr>
          <w:cantSplit/>
        </w:trPr>
        <w:tc>
          <w:tcPr>
            <w:tcW w:w="1871" w:type="dxa"/>
            <w:hideMark/>
          </w:tcPr>
          <w:p w14:paraId="50CBBF19" w14:textId="77777777" w:rsidR="008F433A" w:rsidRDefault="008F433A" w:rsidP="00900091">
            <w:pPr>
              <w:pStyle w:val="TableSideHeading"/>
              <w:keepLines w:val="0"/>
            </w:pPr>
            <w:r>
              <w:rPr>
                <w:rtl/>
              </w:rPr>
              <w:t>תיקון חוק חינוך ממלכתי</w:t>
            </w:r>
          </w:p>
        </w:tc>
        <w:tc>
          <w:tcPr>
            <w:tcW w:w="624" w:type="dxa"/>
            <w:hideMark/>
          </w:tcPr>
          <w:p w14:paraId="336EFD92" w14:textId="77777777" w:rsidR="008F433A" w:rsidRDefault="008F433A" w:rsidP="00900091">
            <w:pPr>
              <w:pStyle w:val="TableText"/>
              <w:rPr>
                <w:rtl/>
              </w:rPr>
            </w:pPr>
            <w:r>
              <w:rPr>
                <w:rtl/>
              </w:rPr>
              <w:t>2.</w:t>
            </w:r>
          </w:p>
        </w:tc>
        <w:tc>
          <w:tcPr>
            <w:tcW w:w="7143" w:type="dxa"/>
            <w:hideMark/>
          </w:tcPr>
          <w:p w14:paraId="44029B90" w14:textId="77777777" w:rsidR="008F433A" w:rsidRDefault="008F433A" w:rsidP="00C021FA">
            <w:pPr>
              <w:pStyle w:val="TableBlock"/>
            </w:pPr>
            <w:r>
              <w:rPr>
                <w:rtl/>
              </w:rPr>
              <w:t>בחוק חינוך ממלכתי, התשי"ג–1953</w:t>
            </w:r>
            <w:r w:rsidRPr="00C021FA">
              <w:rPr>
                <w:rStyle w:val="a6"/>
                <w:rFonts w:ascii="David" w:hAnsi="David"/>
                <w:sz w:val="26"/>
                <w:rtl/>
              </w:rPr>
              <w:footnoteReference w:id="4"/>
            </w:r>
            <w:r>
              <w:rPr>
                <w:rtl/>
              </w:rPr>
              <w:t>, בסעיף 11, האמור בו יסומן "(א)" ואחריו יבוא:</w:t>
            </w:r>
          </w:p>
        </w:tc>
      </w:tr>
      <w:tr w:rsidR="008F433A" w14:paraId="63BDE5B0" w14:textId="77777777" w:rsidTr="00C021FA">
        <w:trPr>
          <w:cantSplit/>
        </w:trPr>
        <w:tc>
          <w:tcPr>
            <w:tcW w:w="1871" w:type="dxa"/>
          </w:tcPr>
          <w:p w14:paraId="083B6BAD" w14:textId="77777777" w:rsidR="008F433A" w:rsidRDefault="008F433A" w:rsidP="00900091">
            <w:pPr>
              <w:pStyle w:val="TableSideHeading"/>
              <w:keepLines w:val="0"/>
            </w:pPr>
          </w:p>
        </w:tc>
        <w:tc>
          <w:tcPr>
            <w:tcW w:w="624" w:type="dxa"/>
          </w:tcPr>
          <w:p w14:paraId="6A9E707C" w14:textId="77777777" w:rsidR="008F433A" w:rsidRDefault="008F433A" w:rsidP="00900091">
            <w:pPr>
              <w:pStyle w:val="TableText"/>
              <w:rPr>
                <w:rtl/>
              </w:rPr>
            </w:pPr>
          </w:p>
        </w:tc>
        <w:tc>
          <w:tcPr>
            <w:tcW w:w="7143" w:type="dxa"/>
            <w:hideMark/>
          </w:tcPr>
          <w:p w14:paraId="5B4E3E6E" w14:textId="77777777" w:rsidR="008F433A" w:rsidRDefault="008F433A" w:rsidP="00C021FA">
            <w:pPr>
              <w:pStyle w:val="TableBlock"/>
            </w:pPr>
            <w:r>
              <w:rPr>
                <w:rtl/>
              </w:rPr>
              <w:t>"(ב)</w:t>
            </w:r>
            <w:r>
              <w:rPr>
                <w:rtl/>
              </w:rPr>
              <w:tab/>
              <w:t>נוכח השר כי מוסד חינוך שהוכר כאמור בסעיף קטן (א) עבר על הוראות איסור ההפליה שבסעיף 5(א) לחוק זכויות התלמיד, התשס"א–2000, תישלל ממנו השתתפות המדינה בתקציבו."</w:t>
            </w:r>
          </w:p>
        </w:tc>
      </w:tr>
    </w:tbl>
    <w:p w14:paraId="7F6961CA" w14:textId="77777777" w:rsidR="002D1EE3" w:rsidRPr="00C021FA" w:rsidRDefault="002D1EE3" w:rsidP="00C021FA">
      <w:pPr>
        <w:pStyle w:val="HeadDivreiHesber"/>
        <w:rPr>
          <w:rtl/>
        </w:rPr>
      </w:pPr>
      <w:r w:rsidRPr="00C021FA">
        <w:rPr>
          <w:rFonts w:hint="cs"/>
          <w:rtl/>
        </w:rPr>
        <w:t>דברי הסבר</w:t>
      </w:r>
    </w:p>
    <w:p w14:paraId="055AD412" w14:textId="77777777" w:rsidR="008F433A" w:rsidRPr="00C021FA" w:rsidRDefault="008F433A" w:rsidP="00C021FA">
      <w:pPr>
        <w:pStyle w:val="Hesber"/>
      </w:pPr>
      <w:r w:rsidRPr="00C021FA">
        <w:rPr>
          <w:rtl/>
        </w:rPr>
        <w:t>בשנת הלימודים התשע"</w:t>
      </w:r>
      <w:r w:rsidRPr="00C021FA">
        <w:rPr>
          <w:rFonts w:hint="cs"/>
          <w:rtl/>
        </w:rPr>
        <w:t>ט</w:t>
      </w:r>
      <w:r w:rsidRPr="00C021FA">
        <w:rPr>
          <w:rtl/>
        </w:rPr>
        <w:t xml:space="preserve">, יותר מ-30 תלמידות לא התחילו את שנת הלימודים בבית ספר, בעקבות אי הסכמה של בתי ספר וסמינרים לרשום אותן ללימודים במסגרתם בשל מניעים עדתיים. כמו כן, ישנם תלמידים יוצאי אתיופיה שנשארו בבית ולא התחילו את שנת הלימודים בבית </w:t>
      </w:r>
      <w:r w:rsidRPr="00C021FA">
        <w:rPr>
          <w:rFonts w:hint="cs"/>
          <w:rtl/>
        </w:rPr>
        <w:t>ה</w:t>
      </w:r>
      <w:r w:rsidRPr="00C021FA">
        <w:rPr>
          <w:rtl/>
        </w:rPr>
        <w:t xml:space="preserve">ספר מכיוון שבית הספר לא הסכים לרשום אותם ממניעים עדתיים. לא ניתן להמשיך במצב זה. הצעת חוק זו נועדה למנוע, בין היתר, את המצב שאין להעלותו על הדעת שבו קיימים בתי ספר בישראל </w:t>
      </w:r>
      <w:r w:rsidRPr="00C021FA">
        <w:rPr>
          <w:rFonts w:hint="cs"/>
          <w:rtl/>
        </w:rPr>
        <w:t>ש</w:t>
      </w:r>
      <w:r w:rsidRPr="00C021FA">
        <w:rPr>
          <w:rtl/>
        </w:rPr>
        <w:t>אינם מוכנים לרשום תלמידים ותלמידות לבית ספרם בגלל מוצאם העדתי.</w:t>
      </w:r>
    </w:p>
    <w:p w14:paraId="08867449" w14:textId="77777777" w:rsidR="008F433A" w:rsidRPr="00C021FA" w:rsidRDefault="008F433A" w:rsidP="00C021FA">
      <w:pPr>
        <w:pStyle w:val="Hesber"/>
      </w:pPr>
      <w:r w:rsidRPr="00C021FA">
        <w:rPr>
          <w:rtl/>
        </w:rPr>
        <w:lastRenderedPageBreak/>
        <w:t xml:space="preserve">סעיף 5(א) לחוק זכויות התלמיד, התשס"א–2000 (להלן – חוק זכויות התלמיד), קובע כדלקמן: </w:t>
      </w:r>
    </w:p>
    <w:p w14:paraId="2927BB69" w14:textId="77777777" w:rsidR="008F433A" w:rsidRPr="00C021FA" w:rsidRDefault="008F433A" w:rsidP="00C021FA">
      <w:pPr>
        <w:pStyle w:val="Hesber"/>
        <w:rPr>
          <w:rtl/>
        </w:rPr>
      </w:pPr>
      <w:r w:rsidRPr="00C021FA">
        <w:rPr>
          <w:rtl/>
        </w:rPr>
        <w:t>"רשות חינוך מקומית, מוסד חינוך או אדם הפועל מטעמם, לא יפלו תלמיד מטעמים עדתיים, מטעמים של ארץ מוצא מטעמים של רקע חברתי-כלכלי, מטעמים של נטייה מינית או זהות מגדרית, או מטעמים של השקפה פוליטית, בין של הילד ובין של הוריו, בכל אחד מאלה:</w:t>
      </w:r>
    </w:p>
    <w:p w14:paraId="744D6908" w14:textId="77777777" w:rsidR="008F433A" w:rsidRPr="00C021FA" w:rsidRDefault="008F433A" w:rsidP="00C021FA">
      <w:pPr>
        <w:pStyle w:val="Hesber"/>
        <w:rPr>
          <w:rtl/>
        </w:rPr>
      </w:pPr>
      <w:r w:rsidRPr="00C021FA">
        <w:rPr>
          <w:rtl/>
        </w:rPr>
        <w:t>(1)</w:t>
      </w:r>
      <w:r w:rsidRPr="00C021FA">
        <w:rPr>
          <w:rtl/>
        </w:rPr>
        <w:tab/>
        <w:t>רישום תלמיד, קבלתו או הרחקתו ממוסד חינוך;</w:t>
      </w:r>
    </w:p>
    <w:p w14:paraId="58C35975" w14:textId="77777777" w:rsidR="008F433A" w:rsidRPr="00C021FA" w:rsidRDefault="008F433A" w:rsidP="00C021FA">
      <w:pPr>
        <w:pStyle w:val="Hesber"/>
      </w:pPr>
      <w:r w:rsidRPr="00C021FA">
        <w:rPr>
          <w:rtl/>
        </w:rPr>
        <w:t>(2)</w:t>
      </w:r>
      <w:r w:rsidRPr="00C021FA">
        <w:rPr>
          <w:rtl/>
        </w:rPr>
        <w:tab/>
        <w:t xml:space="preserve">קביעת תכניות לימודים ומסלולי קידום נפרדים באותו מוסד חינוך; </w:t>
      </w:r>
    </w:p>
    <w:p w14:paraId="594BB997" w14:textId="77777777" w:rsidR="008F433A" w:rsidRPr="00C021FA" w:rsidRDefault="008F433A" w:rsidP="00C021FA">
      <w:pPr>
        <w:pStyle w:val="Hesber"/>
        <w:rPr>
          <w:rtl/>
        </w:rPr>
      </w:pPr>
      <w:r w:rsidRPr="00C021FA">
        <w:rPr>
          <w:rtl/>
        </w:rPr>
        <w:t>(3)</w:t>
      </w:r>
      <w:r w:rsidRPr="00C021FA">
        <w:rPr>
          <w:rtl/>
        </w:rPr>
        <w:tab/>
        <w:t xml:space="preserve">קיום כיתות נפרדות באותו מוסד חינוך; </w:t>
      </w:r>
    </w:p>
    <w:p w14:paraId="491BB8C3" w14:textId="77777777" w:rsidR="008F433A" w:rsidRPr="00C021FA" w:rsidRDefault="008F433A" w:rsidP="00C021FA">
      <w:pPr>
        <w:pStyle w:val="Hesber"/>
        <w:rPr>
          <w:rtl/>
        </w:rPr>
      </w:pPr>
      <w:r w:rsidRPr="00C021FA">
        <w:rPr>
          <w:rtl/>
        </w:rPr>
        <w:t>(4)</w:t>
      </w:r>
      <w:r w:rsidRPr="00C021FA">
        <w:rPr>
          <w:rtl/>
        </w:rPr>
        <w:tab/>
        <w:t>זכויות וחובות תלמידים לרבות כללי המשמעת והפעלתם."</w:t>
      </w:r>
    </w:p>
    <w:p w14:paraId="478BE1B0" w14:textId="77777777" w:rsidR="008F433A" w:rsidRPr="00C021FA" w:rsidRDefault="008F433A" w:rsidP="00C021FA">
      <w:pPr>
        <w:pStyle w:val="Hesber"/>
        <w:rPr>
          <w:rtl/>
        </w:rPr>
      </w:pPr>
      <w:r w:rsidRPr="00C021FA">
        <w:rPr>
          <w:rtl/>
        </w:rPr>
        <w:t>סעיף 5(ב) לחוק זכויות התלמיד קובע כי מי שעובר על איסור ההפליה הקבוע בסעיף 5(א) כאמור עובר עבירה פלילית, אך אינו קובע סנקציות נוספות נגד מוסד החינוך. לפיכך, מוצע לקבוע כי מוסד חינוך אשר עובר על איסור ההפליה, ובין היתר אינו מקבל תלמידים בשעריו בשל מוצאם העדתי, לא יקבל תקצוב מהמדינה.</w:t>
      </w:r>
    </w:p>
    <w:p w14:paraId="5C5DF667" w14:textId="043E2BBA" w:rsidR="008F433A" w:rsidRDefault="008F433A" w:rsidP="00C021FA">
      <w:pPr>
        <w:pStyle w:val="Hesber"/>
        <w:rPr>
          <w:rtl/>
        </w:rPr>
      </w:pPr>
      <w:r w:rsidRPr="00C021FA">
        <w:rPr>
          <w:rFonts w:hint="cs"/>
          <w:rtl/>
        </w:rPr>
        <w:t>הצעות חוק זהות הונחו על שולחן הכנסת העשרים על ידי חבר הכנסת מאיר כהן וקבוצת חברי הכנסת (פ/3530/20; הוסרה מסדר היום ביום י"ט בשבט התשע"ז (15 בפברואר 2017); פ/4128/20; הוסרה מסדר היום ביום כ"ו בחשוון התשע"ח (15 בנובמבר 2017); פ/4799/20; הוסרה מסדר היום ביום ט"ו בח</w:t>
      </w:r>
      <w:r w:rsidR="00413D79" w:rsidRPr="00C021FA">
        <w:rPr>
          <w:rFonts w:hint="cs"/>
          <w:rtl/>
        </w:rPr>
        <w:t>שוון התשע"ט (24 באוקטובר 2018); פ/5850/20).</w:t>
      </w:r>
    </w:p>
    <w:p w14:paraId="41662A5B" w14:textId="77777777" w:rsidR="00AD5BC5" w:rsidRDefault="00AD5BC5" w:rsidP="00C021FA">
      <w:pPr>
        <w:pStyle w:val="Hesber"/>
        <w:rPr>
          <w:rtl/>
        </w:rPr>
      </w:pPr>
    </w:p>
    <w:p w14:paraId="0773BFA7" w14:textId="77777777" w:rsidR="00AD5BC5" w:rsidRDefault="00AD5BC5" w:rsidP="00C021FA">
      <w:pPr>
        <w:pStyle w:val="Hesber"/>
        <w:rPr>
          <w:rtl/>
        </w:rPr>
      </w:pPr>
    </w:p>
    <w:p w14:paraId="5DFF605D" w14:textId="77777777" w:rsidR="00AD5BC5" w:rsidRPr="00D73212" w:rsidRDefault="00AD5BC5" w:rsidP="00AD5BC5">
      <w:pPr>
        <w:pStyle w:val="Hesber"/>
        <w:rPr>
          <w:rtl/>
        </w:rPr>
      </w:pPr>
      <w:r w:rsidRPr="00D73212">
        <w:rPr>
          <w:rtl/>
        </w:rPr>
        <w:t>---------------------------------</w:t>
      </w:r>
    </w:p>
    <w:p w14:paraId="2920C832" w14:textId="77777777" w:rsidR="00AD5BC5" w:rsidRPr="00D73212" w:rsidRDefault="00AD5BC5" w:rsidP="00AD5BC5">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9ACFC08" w14:textId="77777777" w:rsidR="00AD5BC5" w:rsidRPr="00D73212" w:rsidRDefault="00AD5BC5" w:rsidP="00AD5BC5">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2C4D9EE4" w14:textId="77777777" w:rsidR="00AD5BC5" w:rsidRPr="00317312" w:rsidRDefault="00AD5BC5" w:rsidP="00AD5BC5">
      <w:pPr>
        <w:pStyle w:val="Hesber"/>
      </w:pPr>
      <w:r>
        <w:rPr>
          <w:rFonts w:hint="cs"/>
          <w:rtl/>
        </w:rPr>
        <w:t>ט"ו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20.5</w:t>
      </w:r>
      <w:r w:rsidRPr="00D73212">
        <w:rPr>
          <w:rtl/>
        </w:rPr>
        <w:t>.</w:t>
      </w:r>
      <w:r>
        <w:rPr>
          <w:rFonts w:hint="cs"/>
          <w:rtl/>
        </w:rPr>
        <w:t xml:space="preserve">19  </w:t>
      </w:r>
    </w:p>
    <w:p w14:paraId="7E8C0DEE" w14:textId="77777777" w:rsidR="00AD5BC5" w:rsidRPr="00AD5BC5" w:rsidRDefault="00AD5BC5" w:rsidP="00C021FA">
      <w:pPr>
        <w:pStyle w:val="Hesber"/>
        <w:rPr>
          <w:rtl/>
        </w:rPr>
      </w:pPr>
      <w:bookmarkStart w:id="8" w:name="_GoBack"/>
      <w:bookmarkEnd w:id="8"/>
    </w:p>
    <w:p w14:paraId="1BC2A29D" w14:textId="77777777" w:rsidR="008F433A" w:rsidRPr="00C021FA" w:rsidRDefault="008F433A" w:rsidP="00C021FA">
      <w:pPr>
        <w:pStyle w:val="Hesber"/>
        <w:rPr>
          <w:rtl/>
        </w:rPr>
      </w:pPr>
    </w:p>
    <w:p w14:paraId="7F6961CB" w14:textId="77777777" w:rsidR="00E13C27" w:rsidRPr="00C021FA" w:rsidRDefault="00E13C27" w:rsidP="00C021FA">
      <w:pPr>
        <w:pStyle w:val="Hesber"/>
        <w:rPr>
          <w:rtl/>
        </w:rPr>
      </w:pPr>
    </w:p>
    <w:sectPr w:rsidR="00E13C27" w:rsidRPr="00C021FA" w:rsidSect="00C021FA">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D5BC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021F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7218814" w14:textId="77777777" w:rsidR="008F433A" w:rsidRDefault="008F433A" w:rsidP="008F433A">
      <w:pPr>
        <w:pStyle w:val="a4"/>
      </w:pPr>
      <w:r>
        <w:rPr>
          <w:rStyle w:val="a6"/>
        </w:rPr>
        <w:footnoteRef/>
      </w:r>
      <w:r>
        <w:rPr>
          <w:rtl/>
        </w:rPr>
        <w:t xml:space="preserve"> ס"ח התש"ט, עמ' 287.</w:t>
      </w:r>
    </w:p>
  </w:footnote>
  <w:footnote w:id="3">
    <w:p w14:paraId="2C6E1366" w14:textId="77777777" w:rsidR="008F433A" w:rsidRDefault="008F433A" w:rsidP="008F433A">
      <w:pPr>
        <w:pStyle w:val="a4"/>
        <w:rPr>
          <w:rtl/>
        </w:rPr>
      </w:pPr>
      <w:r>
        <w:rPr>
          <w:rStyle w:val="a6"/>
        </w:rPr>
        <w:footnoteRef/>
      </w:r>
      <w:r>
        <w:rPr>
          <w:rtl/>
        </w:rPr>
        <w:t xml:space="preserve"> ס"ח התשס"א, עמ' 42.</w:t>
      </w:r>
    </w:p>
  </w:footnote>
  <w:footnote w:id="4">
    <w:p w14:paraId="15EB095F" w14:textId="77777777" w:rsidR="008F433A" w:rsidRDefault="008F433A" w:rsidP="008F433A">
      <w:pPr>
        <w:pStyle w:val="a4"/>
      </w:pPr>
      <w:r>
        <w:rPr>
          <w:rStyle w:val="a6"/>
        </w:rPr>
        <w:footnoteRef/>
      </w:r>
      <w:r>
        <w:rPr>
          <w:rtl/>
        </w:rPr>
        <w:t xml:space="preserve"> ס"ח התשי"ג, עמ'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3D79"/>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433A"/>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D5BC5"/>
    <w:rsid w:val="00B10265"/>
    <w:rsid w:val="00B16A99"/>
    <w:rsid w:val="00B21211"/>
    <w:rsid w:val="00B35784"/>
    <w:rsid w:val="00B733A7"/>
    <w:rsid w:val="00B75C91"/>
    <w:rsid w:val="00B975AD"/>
    <w:rsid w:val="00BC45FB"/>
    <w:rsid w:val="00BF148D"/>
    <w:rsid w:val="00C021FA"/>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AC49A97-F9D7-4D61-A005-E03C7477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1F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021F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021F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021F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021FA"/>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021FA"/>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021F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021FA"/>
    <w:rPr>
      <w:sz w:val="36"/>
      <w:szCs w:val="52"/>
    </w:rPr>
  </w:style>
  <w:style w:type="paragraph" w:customStyle="1" w:styleId="Cover3-Haknesset">
    <w:name w:val="Cover 3-Haknesset"/>
    <w:basedOn w:val="Cover1-Reshumot"/>
    <w:rsid w:val="00C021FA"/>
    <w:rPr>
      <w:b/>
      <w:bCs/>
      <w:spacing w:val="60"/>
    </w:rPr>
  </w:style>
  <w:style w:type="paragraph" w:customStyle="1" w:styleId="Cover4-Date">
    <w:name w:val="Cover 4-Date"/>
    <w:basedOn w:val="a"/>
    <w:rsid w:val="00C021F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021F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021F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021FA"/>
    <w:pPr>
      <w:spacing w:before="120" w:after="120"/>
    </w:pPr>
    <w:rPr>
      <w:color w:val="FF0000"/>
      <w:w w:val="80"/>
    </w:rPr>
  </w:style>
  <w:style w:type="paragraph" w:styleId="a3">
    <w:name w:val="endnote text"/>
    <w:basedOn w:val="a"/>
    <w:semiHidden/>
    <w:rsid w:val="00C021FA"/>
    <w:pPr>
      <w:ind w:left="227" w:hanging="227"/>
    </w:pPr>
    <w:rPr>
      <w:sz w:val="14"/>
      <w:szCs w:val="22"/>
    </w:rPr>
  </w:style>
  <w:style w:type="paragraph" w:customStyle="1" w:styleId="TableText">
    <w:name w:val="Table Text"/>
    <w:basedOn w:val="a"/>
    <w:rsid w:val="00C021F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021FA"/>
    <w:pPr>
      <w:outlineLvl w:val="2"/>
    </w:pPr>
  </w:style>
  <w:style w:type="paragraph" w:customStyle="1" w:styleId="TableBlock">
    <w:name w:val="Table Block"/>
    <w:basedOn w:val="TableText"/>
    <w:rsid w:val="00C021FA"/>
    <w:pPr>
      <w:jc w:val="both"/>
    </w:pPr>
  </w:style>
  <w:style w:type="paragraph" w:customStyle="1" w:styleId="TableHead">
    <w:name w:val="Table Head"/>
    <w:basedOn w:val="TableText"/>
    <w:rsid w:val="00C021F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021FA"/>
    <w:pPr>
      <w:outlineLvl w:val="9"/>
    </w:pPr>
  </w:style>
  <w:style w:type="paragraph" w:customStyle="1" w:styleId="Hesber">
    <w:name w:val="Hesber"/>
    <w:basedOn w:val="a"/>
    <w:rsid w:val="00C021FA"/>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C021FA"/>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C021FA"/>
    <w:rPr>
      <w:vertAlign w:val="superscript"/>
    </w:rPr>
  </w:style>
  <w:style w:type="paragraph" w:customStyle="1" w:styleId="HesberHeading">
    <w:name w:val="Hesber Heading"/>
    <w:basedOn w:val="Hesber"/>
    <w:rsid w:val="00C021FA"/>
    <w:pPr>
      <w:tabs>
        <w:tab w:val="left" w:pos="624"/>
        <w:tab w:val="left" w:pos="1247"/>
      </w:tabs>
    </w:pPr>
    <w:rPr>
      <w:b/>
      <w:bCs/>
    </w:rPr>
  </w:style>
  <w:style w:type="paragraph" w:customStyle="1" w:styleId="HesberWriters">
    <w:name w:val="Hesber Writers"/>
    <w:basedOn w:val="Hesber"/>
    <w:rsid w:val="00C021FA"/>
    <w:pPr>
      <w:spacing w:before="120" w:after="120"/>
      <w:ind w:left="1418"/>
      <w:jc w:val="right"/>
    </w:pPr>
    <w:rPr>
      <w:b/>
      <w:bCs/>
    </w:rPr>
  </w:style>
  <w:style w:type="paragraph" w:customStyle="1" w:styleId="Hesber1st">
    <w:name w:val="Hesber 1st"/>
    <w:basedOn w:val="Hesber"/>
    <w:rsid w:val="00C021FA"/>
    <w:pPr>
      <w:tabs>
        <w:tab w:val="left" w:pos="680"/>
        <w:tab w:val="left" w:pos="1020"/>
      </w:tabs>
      <w:ind w:firstLine="0"/>
    </w:pPr>
  </w:style>
  <w:style w:type="character" w:styleId="a7">
    <w:name w:val="endnote reference"/>
    <w:basedOn w:val="a0"/>
    <w:semiHidden/>
    <w:rsid w:val="00C021FA"/>
    <w:rPr>
      <w:vertAlign w:val="superscript"/>
    </w:rPr>
  </w:style>
  <w:style w:type="paragraph" w:customStyle="1" w:styleId="TableBlockOutdent">
    <w:name w:val="Table BlockOutdent"/>
    <w:basedOn w:val="TableBlock"/>
    <w:rsid w:val="00C021FA"/>
    <w:pPr>
      <w:ind w:left="624" w:hanging="624"/>
    </w:pPr>
  </w:style>
  <w:style w:type="paragraph" w:styleId="a8">
    <w:name w:val="header"/>
    <w:basedOn w:val="a"/>
    <w:rsid w:val="00C021FA"/>
    <w:pPr>
      <w:tabs>
        <w:tab w:val="center" w:pos="4153"/>
        <w:tab w:val="right" w:pos="8306"/>
      </w:tabs>
    </w:pPr>
  </w:style>
  <w:style w:type="paragraph" w:styleId="a9">
    <w:name w:val="footer"/>
    <w:basedOn w:val="a"/>
    <w:rsid w:val="00C021FA"/>
    <w:pPr>
      <w:tabs>
        <w:tab w:val="center" w:pos="4153"/>
        <w:tab w:val="right" w:pos="8306"/>
      </w:tabs>
    </w:pPr>
  </w:style>
  <w:style w:type="paragraph" w:customStyle="1" w:styleId="HeadDivreiHesber">
    <w:name w:val="Head DivreiHesber"/>
    <w:basedOn w:val="a"/>
    <w:rsid w:val="00C021F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021FA"/>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C021F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F433A"/>
    <w:rPr>
      <w:rFonts w:ascii="Arial" w:eastAsia="Arial Unicode MS" w:hAnsi="Arial" w:cs="David"/>
      <w:snapToGrid w:val="0"/>
      <w:sz w:val="14"/>
    </w:rPr>
  </w:style>
  <w:style w:type="character" w:customStyle="1" w:styleId="10">
    <w:name w:val="כותרת 1 תו"/>
    <w:basedOn w:val="a0"/>
    <w:link w:val="1"/>
    <w:uiPriority w:val="9"/>
    <w:rsid w:val="00C021FA"/>
    <w:rPr>
      <w:rFonts w:asciiTheme="majorHAnsi" w:eastAsiaTheme="majorEastAsia" w:hAnsiTheme="majorHAnsi" w:cs="David"/>
      <w:bCs/>
      <w:sz w:val="32"/>
      <w:szCs w:val="36"/>
    </w:rPr>
  </w:style>
  <w:style w:type="character" w:customStyle="1" w:styleId="20">
    <w:name w:val="כותרת 2 תו"/>
    <w:basedOn w:val="a0"/>
    <w:link w:val="2"/>
    <w:rsid w:val="00C021FA"/>
    <w:rPr>
      <w:rFonts w:asciiTheme="majorHAnsi" w:eastAsiaTheme="majorEastAsia" w:hAnsiTheme="majorHAnsi" w:cs="David"/>
      <w:bCs/>
      <w:sz w:val="26"/>
      <w:szCs w:val="36"/>
      <w:u w:val="single"/>
    </w:rPr>
  </w:style>
  <w:style w:type="character" w:customStyle="1" w:styleId="30">
    <w:name w:val="כותרת 3 תו"/>
    <w:basedOn w:val="a0"/>
    <w:link w:val="3"/>
    <w:rsid w:val="00C021FA"/>
    <w:rPr>
      <w:rFonts w:asciiTheme="majorHAnsi" w:eastAsiaTheme="majorEastAsia" w:hAnsiTheme="majorHAnsi" w:cs="David"/>
      <w:sz w:val="24"/>
      <w:szCs w:val="28"/>
      <w:u w:val="double"/>
    </w:rPr>
  </w:style>
  <w:style w:type="character" w:customStyle="1" w:styleId="40">
    <w:name w:val="כותרת 4 תו"/>
    <w:basedOn w:val="a0"/>
    <w:link w:val="4"/>
    <w:uiPriority w:val="9"/>
    <w:rsid w:val="00C021F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021FA"/>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021FA"/>
    <w:pPr>
      <w:widowControl/>
      <w:spacing w:before="120" w:after="120"/>
      <w:outlineLvl w:val="9"/>
    </w:pPr>
    <w:rPr>
      <w:rtl/>
      <w:cs/>
    </w:rPr>
  </w:style>
  <w:style w:type="paragraph" w:styleId="TOC1">
    <w:name w:val="toc 1"/>
    <w:basedOn w:val="a"/>
    <w:next w:val="a"/>
    <w:autoRedefine/>
    <w:uiPriority w:val="39"/>
    <w:unhideWhenUsed/>
    <w:rsid w:val="00C021FA"/>
    <w:pPr>
      <w:tabs>
        <w:tab w:val="right" w:leader="dot" w:pos="9629"/>
      </w:tabs>
      <w:spacing w:after="100"/>
    </w:pPr>
    <w:rPr>
      <w:bCs/>
      <w:szCs w:val="22"/>
    </w:rPr>
  </w:style>
  <w:style w:type="paragraph" w:styleId="TOC2">
    <w:name w:val="toc 2"/>
    <w:basedOn w:val="a"/>
    <w:next w:val="a"/>
    <w:uiPriority w:val="39"/>
    <w:unhideWhenUsed/>
    <w:rsid w:val="00C021FA"/>
    <w:pPr>
      <w:tabs>
        <w:tab w:val="right" w:leader="dot" w:pos="9628"/>
      </w:tabs>
      <w:spacing w:after="100"/>
    </w:pPr>
    <w:rPr>
      <w:szCs w:val="22"/>
    </w:rPr>
  </w:style>
  <w:style w:type="character" w:styleId="Hyperlink">
    <w:name w:val="Hyperlink"/>
    <w:basedOn w:val="a0"/>
    <w:uiPriority w:val="99"/>
    <w:unhideWhenUsed/>
    <w:rsid w:val="00C021FA"/>
    <w:rPr>
      <w:color w:val="0000FF" w:themeColor="hyperlink"/>
      <w:u w:val="single"/>
    </w:rPr>
  </w:style>
  <w:style w:type="paragraph" w:styleId="TOC3">
    <w:name w:val="toc 3"/>
    <w:basedOn w:val="a"/>
    <w:next w:val="a"/>
    <w:uiPriority w:val="39"/>
    <w:unhideWhenUsed/>
    <w:rsid w:val="00C021FA"/>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C021F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021FA"/>
    <w:pPr>
      <w:tabs>
        <w:tab w:val="right" w:leader="dot" w:pos="9628"/>
      </w:tabs>
      <w:spacing w:after="100"/>
      <w:ind w:left="567"/>
    </w:pPr>
    <w:rPr>
      <w:szCs w:val="22"/>
    </w:rPr>
  </w:style>
  <w:style w:type="paragraph" w:styleId="TOC6">
    <w:name w:val="toc 6"/>
    <w:basedOn w:val="a"/>
    <w:next w:val="a"/>
    <w:autoRedefine/>
    <w:semiHidden/>
    <w:unhideWhenUsed/>
    <w:rsid w:val="00C021FA"/>
    <w:pPr>
      <w:spacing w:after="100"/>
      <w:ind w:left="850"/>
    </w:pPr>
  </w:style>
  <w:style w:type="paragraph" w:styleId="TOC7">
    <w:name w:val="toc 7"/>
    <w:basedOn w:val="a"/>
    <w:next w:val="a"/>
    <w:autoRedefine/>
    <w:semiHidden/>
    <w:unhideWhenUsed/>
    <w:rsid w:val="00C021FA"/>
    <w:pPr>
      <w:spacing w:after="100"/>
      <w:ind w:left="1020"/>
    </w:pPr>
  </w:style>
  <w:style w:type="paragraph" w:styleId="TOC8">
    <w:name w:val="toc 8"/>
    <w:basedOn w:val="a"/>
    <w:next w:val="a"/>
    <w:autoRedefine/>
    <w:semiHidden/>
    <w:unhideWhenUsed/>
    <w:rsid w:val="00C021FA"/>
    <w:pPr>
      <w:spacing w:after="100"/>
      <w:ind w:left="1190"/>
    </w:pPr>
  </w:style>
  <w:style w:type="paragraph" w:styleId="TOC9">
    <w:name w:val="toc 9"/>
    <w:basedOn w:val="a"/>
    <w:next w:val="a"/>
    <w:autoRedefine/>
    <w:semiHidden/>
    <w:unhideWhenUsed/>
    <w:rsid w:val="00C021FA"/>
    <w:pPr>
      <w:spacing w:after="100"/>
      <w:ind w:left="1360"/>
    </w:pPr>
  </w:style>
  <w:style w:type="paragraph" w:customStyle="1" w:styleId="TableHead2">
    <w:name w:val="Table Head2"/>
    <w:basedOn w:val="TableHead"/>
    <w:qFormat/>
    <w:rsid w:val="00C021FA"/>
    <w:pPr>
      <w:outlineLvl w:val="9"/>
    </w:pPr>
  </w:style>
  <w:style w:type="paragraph" w:customStyle="1" w:styleId="TableSideHeading2">
    <w:name w:val="Table SideHeading2"/>
    <w:basedOn w:val="TableSideHeading"/>
    <w:autoRedefine/>
    <w:qFormat/>
    <w:rsid w:val="00C021FA"/>
    <w:pPr>
      <w:keepLines w:val="0"/>
      <w:outlineLvl w:val="9"/>
    </w:pPr>
  </w:style>
  <w:style w:type="paragraph" w:customStyle="1" w:styleId="0">
    <w:name w:val="סגנון שורה ראשונה:  0  ס''מ"/>
    <w:basedOn w:val="2"/>
    <w:rsid w:val="00C021FA"/>
    <w:rPr>
      <w:rFonts w:eastAsia="Times New Roman"/>
    </w:rPr>
  </w:style>
  <w:style w:type="paragraph" w:styleId="af">
    <w:name w:val="List Paragraph"/>
    <w:basedOn w:val="a"/>
    <w:uiPriority w:val="34"/>
    <w:qFormat/>
    <w:rsid w:val="00C021FA"/>
    <w:pPr>
      <w:widowControl/>
      <w:spacing w:line="259" w:lineRule="auto"/>
    </w:pPr>
    <w:rPr>
      <w:rFonts w:asciiTheme="minorHAnsi" w:hAnsiTheme="minorHAnsi"/>
      <w:sz w:val="22"/>
    </w:rPr>
  </w:style>
  <w:style w:type="table" w:styleId="af0">
    <w:name w:val="Table Grid"/>
    <w:basedOn w:val="a1"/>
    <w:rsid w:val="00C0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021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021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021F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021F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ADA67B87-61AF-49FE-BBFC-5FD122E1E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14E647-C954-40E4-8F80-2B248BE0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413</Words>
  <Characters>2065</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2019-05-19T06:05:00Z</cp:lastPrinted>
  <dcterms:created xsi:type="dcterms:W3CDTF">2015-04-20T09:58:00Z</dcterms:created>
  <dcterms:modified xsi:type="dcterms:W3CDTF">2019-05-19T06:05:00Z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2078611</vt:r8>
  </property>
</Properties>
</file>