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2078601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מאיר כהן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גרמן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אלעזר שטרן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פ/5/21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זכויות החולה (תיקון – איסור הפליה בשל מקום מגורים), </w:t>
      </w:r>
      <w:proofErr w:type="spellStart"/>
      <w:r>
        <w:rPr>
          <w:rFonts w:hint="cs"/>
          <w:rtl/>
        </w:rPr>
        <w:t>התשע"ט</w:t>
      </w:r>
      <w:proofErr w:type="spellEnd"/>
      <w:r>
        <w:rPr>
          <w:rFonts w:hint="cs"/>
          <w:rtl/>
        </w:rPr>
        <w:t>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F30134" w14:paraId="53C484DF" w14:textId="77777777" w:rsidTr="001C274E">
        <w:trPr>
          <w:cantSplit/>
          <w:trHeight w:val="60"/>
        </w:trPr>
        <w:tc>
          <w:tcPr>
            <w:tcW w:w="1871" w:type="dxa"/>
          </w:tcPr>
          <w:p w14:paraId="4FEB22FA" w14:textId="77777777" w:rsidR="00F30134" w:rsidRPr="007B1497" w:rsidRDefault="00F30134" w:rsidP="007B1497">
            <w:pPr>
              <w:pStyle w:val="TableSideHeading"/>
              <w:ind w:right="0"/>
            </w:pPr>
            <w:r w:rsidRPr="00CE3EF6">
              <w:rPr>
                <w:rFonts w:hint="cs"/>
                <w:rtl/>
              </w:rPr>
              <w:t>תיקון סעיף 4</w:t>
            </w:r>
          </w:p>
        </w:tc>
        <w:tc>
          <w:tcPr>
            <w:tcW w:w="624" w:type="dxa"/>
          </w:tcPr>
          <w:p w14:paraId="0AA9BC45" w14:textId="77777777" w:rsidR="00F30134" w:rsidRPr="007B1497" w:rsidRDefault="00F30134" w:rsidP="007B1497">
            <w:pPr>
              <w:pStyle w:val="TableText"/>
              <w:ind w:right="0"/>
              <w:jc w:val="both"/>
            </w:pPr>
            <w:r w:rsidRPr="00CE3EF6"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2CA868AD" w14:textId="77777777" w:rsidR="00F30134" w:rsidRPr="007B1497" w:rsidRDefault="00F30134" w:rsidP="007B1497">
            <w:pPr>
              <w:pStyle w:val="TableBlock"/>
            </w:pPr>
            <w:r w:rsidRPr="00A2488E">
              <w:rPr>
                <w:rFonts w:hint="cs"/>
                <w:rtl/>
              </w:rPr>
              <w:t>ב</w:t>
            </w:r>
            <w:r w:rsidRPr="007B1497">
              <w:rPr>
                <w:rtl/>
              </w:rPr>
              <w:t xml:space="preserve">חוק זכויות החולה, </w:t>
            </w:r>
            <w:proofErr w:type="spellStart"/>
            <w:r w:rsidRPr="007B1497">
              <w:rPr>
                <w:rFonts w:hint="cs"/>
                <w:rtl/>
              </w:rPr>
              <w:t>ה</w:t>
            </w:r>
            <w:r w:rsidRPr="007B1497">
              <w:rPr>
                <w:rtl/>
              </w:rPr>
              <w:t>תשנ"ו</w:t>
            </w:r>
            <w:proofErr w:type="spellEnd"/>
            <w:r w:rsidRPr="007B1497">
              <w:rPr>
                <w:rFonts w:hint="cs"/>
                <w:rtl/>
              </w:rPr>
              <w:t>–</w:t>
            </w:r>
            <w:r w:rsidRPr="007B1497">
              <w:rPr>
                <w:rtl/>
              </w:rPr>
              <w:t>1996</w:t>
            </w:r>
            <w:r w:rsidRPr="007B1497">
              <w:rPr>
                <w:vertAlign w:val="superscript"/>
                <w:rtl/>
              </w:rPr>
              <w:footnoteReference w:id="2"/>
            </w:r>
            <w:r w:rsidRPr="007B1497">
              <w:rPr>
                <w:rFonts w:hint="cs"/>
                <w:vertAlign w:val="superscript"/>
                <w:rtl/>
              </w:rPr>
              <w:t xml:space="preserve"> </w:t>
            </w:r>
            <w:r w:rsidRPr="007B1497">
              <w:rPr>
                <w:rFonts w:hint="cs"/>
                <w:rtl/>
              </w:rPr>
              <w:t xml:space="preserve">(להלן </w:t>
            </w:r>
            <w:r w:rsidRPr="007B1497">
              <w:rPr>
                <w:rtl/>
              </w:rPr>
              <w:t>–</w:t>
            </w:r>
            <w:r w:rsidRPr="007B1497">
              <w:rPr>
                <w:rFonts w:hint="cs"/>
                <w:rtl/>
              </w:rPr>
              <w:t xml:space="preserve"> החוק העיקרי),</w:t>
            </w:r>
            <w:r w:rsidRPr="007B1497">
              <w:rPr>
                <w:rtl/>
              </w:rPr>
              <w:t xml:space="preserve"> </w:t>
            </w:r>
            <w:r w:rsidRPr="007B1497">
              <w:rPr>
                <w:rFonts w:hint="cs"/>
                <w:rtl/>
              </w:rPr>
              <w:t>בסעיף 4(א), אחרי  "ארץ מוצא" יבוא "מקום מגורים".</w:t>
            </w:r>
          </w:p>
        </w:tc>
      </w:tr>
      <w:tr w:rsidR="00F30134" w14:paraId="62E7670C" w14:textId="77777777" w:rsidTr="001C274E">
        <w:trPr>
          <w:cantSplit/>
          <w:trHeight w:val="60"/>
        </w:trPr>
        <w:tc>
          <w:tcPr>
            <w:tcW w:w="1871" w:type="dxa"/>
          </w:tcPr>
          <w:p w14:paraId="352A388D" w14:textId="77777777" w:rsidR="00F30134" w:rsidRPr="007B1497" w:rsidRDefault="00F30134" w:rsidP="007B1497">
            <w:pPr>
              <w:pStyle w:val="TableSideHeading"/>
              <w:rPr>
                <w:rtl/>
              </w:rPr>
            </w:pPr>
            <w:r w:rsidRPr="007B1497">
              <w:rPr>
                <w:rFonts w:hint="cs"/>
                <w:rtl/>
              </w:rPr>
              <w:t>תיקון סעיף 28</w:t>
            </w:r>
          </w:p>
        </w:tc>
        <w:tc>
          <w:tcPr>
            <w:tcW w:w="624" w:type="dxa"/>
          </w:tcPr>
          <w:p w14:paraId="2FC85563" w14:textId="77777777" w:rsidR="00F30134" w:rsidRPr="007B1497" w:rsidRDefault="00F30134" w:rsidP="007B1497">
            <w:pPr>
              <w:pStyle w:val="TableText"/>
              <w:rPr>
                <w:rtl/>
              </w:rPr>
            </w:pPr>
            <w:r w:rsidRPr="007B1497"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</w:tcPr>
          <w:p w14:paraId="33807A7A" w14:textId="77777777" w:rsidR="00F30134" w:rsidRPr="007B1497" w:rsidRDefault="00F30134" w:rsidP="007B1497">
            <w:pPr>
              <w:pStyle w:val="TableBlock"/>
              <w:rPr>
                <w:rtl/>
              </w:rPr>
            </w:pPr>
            <w:r w:rsidRPr="007B1497">
              <w:rPr>
                <w:rFonts w:hint="cs"/>
                <w:rtl/>
              </w:rPr>
              <w:t>בסעיף 28(א) לחוק העיקרי, אחרי  "ארץ מוצא" יבוא "מקום מגורים".</w:t>
            </w:r>
          </w:p>
        </w:tc>
      </w:tr>
    </w:tbl>
    <w:p w14:paraId="7F6961CA" w14:textId="77777777" w:rsidR="002D1EE3" w:rsidRPr="00BA25C4" w:rsidRDefault="002D1EE3" w:rsidP="00BA25C4">
      <w:pPr>
        <w:pStyle w:val="HeadDivreiHesber"/>
        <w:rPr>
          <w:rtl/>
        </w:rPr>
      </w:pPr>
      <w:r w:rsidRPr="00BA25C4">
        <w:rPr>
          <w:rFonts w:hint="cs"/>
          <w:rtl/>
        </w:rPr>
        <w:t>דברי הסבר</w:t>
      </w:r>
    </w:p>
    <w:p w14:paraId="310C27E3" w14:textId="7D3F88E4" w:rsidR="00F30134" w:rsidRPr="00BA25C4" w:rsidRDefault="00F30134" w:rsidP="00BA25C4">
      <w:pPr>
        <w:pStyle w:val="Hesber"/>
        <w:rPr>
          <w:rtl/>
        </w:rPr>
      </w:pPr>
      <w:r w:rsidRPr="00BA25C4">
        <w:rPr>
          <w:rtl/>
        </w:rPr>
        <w:t xml:space="preserve">חוק זכויות החולה, </w:t>
      </w:r>
      <w:proofErr w:type="spellStart"/>
      <w:r w:rsidRPr="00BA25C4">
        <w:rPr>
          <w:rFonts w:hint="cs"/>
          <w:rtl/>
        </w:rPr>
        <w:t>ה</w:t>
      </w:r>
      <w:r w:rsidRPr="00BA25C4">
        <w:rPr>
          <w:rtl/>
        </w:rPr>
        <w:t>תשנ"ו</w:t>
      </w:r>
      <w:proofErr w:type="spellEnd"/>
      <w:r w:rsidRPr="00BA25C4">
        <w:rPr>
          <w:rFonts w:hint="cs"/>
          <w:rtl/>
        </w:rPr>
        <w:t>–</w:t>
      </w:r>
      <w:r w:rsidRPr="00BA25C4">
        <w:rPr>
          <w:rtl/>
        </w:rPr>
        <w:t>1996</w:t>
      </w:r>
      <w:r w:rsidRPr="00BA25C4">
        <w:rPr>
          <w:rFonts w:hint="cs"/>
          <w:rtl/>
        </w:rPr>
        <w:t>,</w:t>
      </w:r>
      <w:r w:rsidR="00A2488E" w:rsidRPr="00BA25C4">
        <w:rPr>
          <w:rtl/>
        </w:rPr>
        <w:t xml:space="preserve"> נחקק במטרה לקבוע את </w:t>
      </w:r>
      <w:r w:rsidRPr="00BA25C4">
        <w:rPr>
          <w:rtl/>
        </w:rPr>
        <w:t>זכ</w:t>
      </w:r>
      <w:r w:rsidR="00BA25C4" w:rsidRPr="00BA25C4">
        <w:rPr>
          <w:rFonts w:hint="cs"/>
          <w:rtl/>
        </w:rPr>
        <w:t>ותם</w:t>
      </w:r>
      <w:r w:rsidRPr="00BA25C4">
        <w:rPr>
          <w:rFonts w:hint="cs"/>
          <w:rtl/>
        </w:rPr>
        <w:t xml:space="preserve"> </w:t>
      </w:r>
      <w:r w:rsidRPr="00BA25C4">
        <w:rPr>
          <w:rtl/>
        </w:rPr>
        <w:t xml:space="preserve">של אזרחי המדינה לקבל שירותי רפואה </w:t>
      </w:r>
      <w:r w:rsidRPr="00BA25C4">
        <w:rPr>
          <w:rFonts w:hint="cs"/>
          <w:rtl/>
        </w:rPr>
        <w:t xml:space="preserve">באופן </w:t>
      </w:r>
      <w:r w:rsidRPr="00BA25C4">
        <w:rPr>
          <w:rtl/>
        </w:rPr>
        <w:t>ראוי</w:t>
      </w:r>
      <w:r w:rsidRPr="00BA25C4">
        <w:rPr>
          <w:rFonts w:hint="cs"/>
          <w:rtl/>
        </w:rPr>
        <w:t xml:space="preserve">. כיום </w:t>
      </w:r>
      <w:r w:rsidR="00BA25C4" w:rsidRPr="00BA25C4">
        <w:rPr>
          <w:rFonts w:hint="cs"/>
          <w:rtl/>
        </w:rPr>
        <w:t>קיימים</w:t>
      </w:r>
      <w:r w:rsidRPr="00BA25C4">
        <w:rPr>
          <w:rFonts w:hint="cs"/>
          <w:rtl/>
        </w:rPr>
        <w:t xml:space="preserve"> פערים בקבלת שירותי </w:t>
      </w:r>
      <w:r w:rsidR="00A2488E" w:rsidRPr="00BA25C4">
        <w:rPr>
          <w:rFonts w:hint="cs"/>
          <w:rtl/>
        </w:rPr>
        <w:t>רפואה ציבורית</w:t>
      </w:r>
      <w:r w:rsidRPr="00BA25C4">
        <w:rPr>
          <w:rFonts w:hint="cs"/>
          <w:rtl/>
        </w:rPr>
        <w:t xml:space="preserve"> שמתבטאים בין היתר בכך שאזרחי המדינה המתגוררים במקומות גאוגרפיים מרוחקים מופלים לרעה בקבלת שירותי בריאות.</w:t>
      </w:r>
    </w:p>
    <w:p w14:paraId="3A630E66" w14:textId="257AA7A7" w:rsidR="00F30134" w:rsidRPr="00BA25C4" w:rsidRDefault="00F30134" w:rsidP="00BA25C4">
      <w:pPr>
        <w:pStyle w:val="Hesber"/>
        <w:rPr>
          <w:rtl/>
        </w:rPr>
      </w:pPr>
      <w:r w:rsidRPr="00BA25C4">
        <w:rPr>
          <w:rFonts w:hint="cs"/>
          <w:rtl/>
        </w:rPr>
        <w:t xml:space="preserve">במצב החוקי כיום איסור ההפליה </w:t>
      </w:r>
      <w:r w:rsidR="00BA25C4" w:rsidRPr="00BA25C4">
        <w:rPr>
          <w:rFonts w:hint="cs"/>
          <w:rtl/>
        </w:rPr>
        <w:t>כולל</w:t>
      </w:r>
      <w:r w:rsidRPr="00BA25C4">
        <w:rPr>
          <w:rFonts w:hint="cs"/>
          <w:rtl/>
        </w:rPr>
        <w:t xml:space="preserve"> בין היתר הפליה על רקע דת, מין, נטייה מינית, ארץ מוצא, לאום וגיל. ואולם, סעיף זה אינו </w:t>
      </w:r>
      <w:r w:rsidR="00BA25C4" w:rsidRPr="00BA25C4">
        <w:rPr>
          <w:rFonts w:hint="cs"/>
          <w:rtl/>
        </w:rPr>
        <w:t>כולל</w:t>
      </w:r>
      <w:r w:rsidRPr="00BA25C4">
        <w:rPr>
          <w:rFonts w:hint="cs"/>
          <w:rtl/>
        </w:rPr>
        <w:t xml:space="preserve"> הפליה בשל ריחוק גיאוגרפי שהיא ליבת ההפליה בשירותי הבריאות ה</w:t>
      </w:r>
      <w:r w:rsidR="00A2488E" w:rsidRPr="00BA25C4">
        <w:rPr>
          <w:rFonts w:hint="cs"/>
          <w:rtl/>
        </w:rPr>
        <w:t>ניתנים לתושבי הפריפריה ויהודה וה</w:t>
      </w:r>
      <w:r w:rsidRPr="00BA25C4">
        <w:rPr>
          <w:rFonts w:hint="cs"/>
          <w:rtl/>
        </w:rPr>
        <w:t xml:space="preserve">שומרון. </w:t>
      </w:r>
      <w:r w:rsidR="00A2488E" w:rsidRPr="00BA25C4">
        <w:rPr>
          <w:rFonts w:hint="cs"/>
          <w:rtl/>
        </w:rPr>
        <w:t xml:space="preserve">על כן מוצע </w:t>
      </w:r>
      <w:r w:rsidRPr="00BA25C4">
        <w:rPr>
          <w:rFonts w:hint="cs"/>
          <w:rtl/>
        </w:rPr>
        <w:t xml:space="preserve">להוסיף </w:t>
      </w:r>
      <w:r w:rsidR="00BA25C4" w:rsidRPr="00BA25C4">
        <w:rPr>
          <w:rFonts w:hint="cs"/>
          <w:rtl/>
        </w:rPr>
        <w:t>הוראה</w:t>
      </w:r>
      <w:r w:rsidRPr="00BA25C4">
        <w:rPr>
          <w:rFonts w:hint="cs"/>
          <w:rtl/>
        </w:rPr>
        <w:t xml:space="preserve"> בחוק שאוסר</w:t>
      </w:r>
      <w:r w:rsidR="00BA25C4" w:rsidRPr="00BA25C4">
        <w:rPr>
          <w:rFonts w:hint="cs"/>
          <w:rtl/>
        </w:rPr>
        <w:t>ת</w:t>
      </w:r>
      <w:r w:rsidRPr="00BA25C4">
        <w:rPr>
          <w:rFonts w:hint="cs"/>
          <w:rtl/>
        </w:rPr>
        <w:t xml:space="preserve"> על הפליה בשל מקום מגורים, </w:t>
      </w:r>
      <w:r w:rsidR="00BA25C4" w:rsidRPr="00BA25C4">
        <w:rPr>
          <w:rFonts w:hint="cs"/>
          <w:rtl/>
        </w:rPr>
        <w:t>כלומר הוראה שתמנע</w:t>
      </w:r>
      <w:r w:rsidRPr="00BA25C4">
        <w:rPr>
          <w:rFonts w:hint="cs"/>
          <w:rtl/>
        </w:rPr>
        <w:t xml:space="preserve"> הפליה במתן שירות רפואי בשל ריחוק גיאוגרפי.</w:t>
      </w:r>
    </w:p>
    <w:p w14:paraId="60FAC447" w14:textId="4C50F9A5" w:rsidR="005F77F9" w:rsidRPr="00BA25C4" w:rsidRDefault="005F77F9" w:rsidP="00BA25C4">
      <w:pPr>
        <w:pStyle w:val="Hesber"/>
        <w:rPr>
          <w:rtl/>
        </w:rPr>
      </w:pPr>
      <w:r w:rsidRPr="00BA25C4">
        <w:rPr>
          <w:rFonts w:hint="cs"/>
          <w:rtl/>
        </w:rPr>
        <w:t>הצעת חוק זהה הונחה על שולחן הכנסת העשרים על ידי חבר הכנסת מאיר כהן וקבוצת חברי הכנסת (פ/5890/20)</w:t>
      </w:r>
      <w:r w:rsidR="00681AB7">
        <w:rPr>
          <w:rFonts w:hint="cs"/>
          <w:rtl/>
        </w:rPr>
        <w:t>.</w:t>
      </w:r>
      <w:bookmarkStart w:id="8" w:name="_GoBack"/>
      <w:bookmarkEnd w:id="8"/>
    </w:p>
    <w:p w14:paraId="70566FE1" w14:textId="77777777" w:rsidR="007023FD" w:rsidRPr="00D73212" w:rsidRDefault="007023FD" w:rsidP="007023FD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3F0F0F70" w14:textId="77777777" w:rsidR="007023FD" w:rsidRPr="00D73212" w:rsidRDefault="007023FD" w:rsidP="007023FD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3FD0098A" w14:textId="77777777" w:rsidR="007023FD" w:rsidRPr="00D73212" w:rsidRDefault="007023FD" w:rsidP="007023FD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2B0AC269" w14:textId="77777777" w:rsidR="007023FD" w:rsidRPr="00317312" w:rsidRDefault="007023FD" w:rsidP="007023FD">
      <w:pPr>
        <w:pStyle w:val="Hesber"/>
      </w:pPr>
      <w:r>
        <w:rPr>
          <w:rFonts w:hint="cs"/>
          <w:color w:val="auto"/>
          <w:rtl/>
          <w:lang w:eastAsia="en-US"/>
        </w:rPr>
        <w:t>ט"ו באייר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ט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20.5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p w14:paraId="052C3E38" w14:textId="77777777" w:rsidR="00F30134" w:rsidRPr="007023FD" w:rsidRDefault="00F30134" w:rsidP="00F30134">
      <w:pPr>
        <w:pStyle w:val="Hesber"/>
        <w:spacing w:before="120" w:after="120"/>
        <w:ind w:firstLine="0"/>
        <w:rPr>
          <w:rFonts w:ascii="David" w:hAnsi="David"/>
          <w:sz w:val="26"/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2691132" w14:textId="77777777" w:rsidR="00F30134" w:rsidRDefault="00F30134" w:rsidP="00F30134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התשנ"ו</w:t>
      </w:r>
      <w:proofErr w:type="spellEnd"/>
      <w:r>
        <w:rPr>
          <w:rFonts w:hint="cs"/>
          <w:rtl/>
        </w:rPr>
        <w:t>, עמ' 327.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F77F9"/>
    <w:rsid w:val="0062674B"/>
    <w:rsid w:val="006363B2"/>
    <w:rsid w:val="00644940"/>
    <w:rsid w:val="006818A9"/>
    <w:rsid w:val="00681AB7"/>
    <w:rsid w:val="006A2D81"/>
    <w:rsid w:val="006C1D0D"/>
    <w:rsid w:val="007023FD"/>
    <w:rsid w:val="0070601E"/>
    <w:rsid w:val="00712C72"/>
    <w:rsid w:val="00735FE9"/>
    <w:rsid w:val="00763CAA"/>
    <w:rsid w:val="00765F66"/>
    <w:rsid w:val="0078664F"/>
    <w:rsid w:val="007A27CE"/>
    <w:rsid w:val="007B1497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488E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A25C4"/>
    <w:rsid w:val="00BC45FB"/>
    <w:rsid w:val="00BF148D"/>
    <w:rsid w:val="00C23B1A"/>
    <w:rsid w:val="00C310EB"/>
    <w:rsid w:val="00C9176A"/>
    <w:rsid w:val="00CE3EF6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30134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24CBF5D-7E44-4E67-9E7C-E31E3683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C6DE-A2F1-4BD0-AEA1-EA03D0B97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BC5A6-AD9A-4A96-9071-3ACDF108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10</cp:revision>
  <cp:lastPrinted>2019-05-06T12:29:00Z</cp:lastPrinted>
  <dcterms:created xsi:type="dcterms:W3CDTF">2015-04-20T09:58:00Z</dcterms:created>
  <dcterms:modified xsi:type="dcterms:W3CDTF">2019-05-19T05:57:00Z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2078601</vt:r8>
  </property>
</Properties>
</file>