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2077321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מיכל בירן</w:t>
      </w:r>
      <w:r>
        <w:br/>
      </w:r>
      <w:r>
        <w:rPr>
          <w:rFonts w:hint="cs"/>
          <w:b/>
          <w:bCs/>
          <w:rtl/>
        </w:rPr>
        <w:t xml:space="preserve"> </w:t>
      </w:r>
      <w:r>
        <w:tab/>
      </w:r>
      <w:r>
        <w:tab/>
      </w:r>
      <w:r>
        <w:tab/>
      </w:r>
      <w:r>
        <w:tab/>
      </w:r>
      <w:r>
        <w:rPr>
          <w:rFonts w:hint="cs"/>
          <w:b/>
          <w:bCs/>
          <w:rtl/>
        </w:rPr>
        <w:t>יעל כהן-פארן</w:t>
      </w:r>
      <w:r>
        <w:br/>
      </w:r>
      <w:r>
        <w:rPr>
          <w:rFonts w:hint="cs"/>
          <w:b/>
          <w:bCs/>
          <w:rtl/>
        </w:rPr>
        <w:t xml:space="preserve"> </w:t>
      </w:r>
      <w:r>
        <w:tab/>
      </w:r>
      <w:r>
        <w:tab/>
      </w:r>
      <w:r>
        <w:tab/>
      </w:r>
      <w:r>
        <w:tab/>
      </w:r>
      <w:r>
        <w:rPr>
          <w:rFonts w:hint="cs"/>
          <w:b/>
          <w:bCs/>
          <w:rtl/>
        </w:rPr>
        <w:t>לאה פדידה</w:t>
      </w:r>
      <w:r>
        <w:br/>
      </w:r>
      <w:r>
        <w:rPr>
          <w:rFonts w:hint="cs"/>
          <w:b/>
          <w:bCs/>
          <w:rtl/>
        </w:rPr>
        <w:t xml:space="preserve"> </w:t>
      </w:r>
      <w:r>
        <w:tab/>
      </w:r>
      <w:r>
        <w:tab/>
      </w:r>
      <w:r>
        <w:tab/>
      </w:r>
      <w:r>
        <w:tab/>
      </w:r>
      <w:r>
        <w:rPr>
          <w:rFonts w:hint="cs"/>
          <w:b/>
          <w:bCs/>
          <w:rtl/>
        </w:rPr>
        <w:t>משה מזרחי</w:t>
      </w:r>
      <w:r>
        <w:br/>
      </w:r>
      <w:r>
        <w:rPr>
          <w:rFonts w:hint="cs"/>
          <w:b/>
          <w:bCs/>
          <w:rtl/>
        </w:rPr>
        <w:t xml:space="preserve"> </w:t>
      </w:r>
      <w:r>
        <w:tab/>
      </w:r>
      <w:r>
        <w:tab/>
      </w:r>
      <w:r>
        <w:tab/>
      </w:r>
      <w:r>
        <w:tab/>
      </w:r>
      <w:r>
        <w:rPr>
          <w:rFonts w:hint="cs"/>
          <w:b/>
          <w:bCs/>
          <w:rtl/>
        </w:rPr>
        <w:t>רוברט טיבייב</w:t>
      </w:r>
      <w:r>
        <w:br/>
      </w:r>
      <w:r>
        <w:rPr>
          <w:rFonts w:hint="cs"/>
          <w:b/>
          <w:bCs/>
          <w:rtl/>
        </w:rPr>
        <w:t xml:space="preserve"> </w:t>
      </w:r>
      <w:r>
        <w:tab/>
      </w:r>
      <w:r>
        <w:tab/>
      </w:r>
      <w:r>
        <w:tab/>
      </w:r>
      <w:r>
        <w:tab/>
      </w:r>
      <w:r>
        <w:rPr>
          <w:rFonts w:hint="cs"/>
          <w:b/>
          <w:bCs/>
          <w:rtl/>
        </w:rPr>
        <w:t>איילת נחמיאס ורבין</w:t>
      </w:r>
      <w:r>
        <w:br/>
      </w:r>
      <w:r>
        <w:rPr>
          <w:rFonts w:hint="cs"/>
          <w:b/>
          <w:bCs/>
          <w:rtl/>
        </w:rPr>
        <w:t xml:space="preserve"> </w:t>
      </w:r>
      <w:r>
        <w:tab/>
      </w:r>
      <w:r>
        <w:tab/>
      </w:r>
      <w:r>
        <w:tab/>
      </w:r>
      <w:r>
        <w:tab/>
      </w:r>
      <w:r>
        <w:rPr>
          <w:rFonts w:hint="cs"/>
          <w:b/>
          <w:bCs/>
          <w:rtl/>
        </w:rPr>
        <w:t>יוסי יונה</w:t>
      </w:r>
      <w:r>
        <w:br/>
      </w:r>
      <w:r>
        <w:rPr>
          <w:rFonts w:hint="cs"/>
          <w:b/>
          <w:bCs/>
          <w:rtl/>
        </w:rPr>
        <w:t xml:space="preserve"> </w:t>
      </w:r>
      <w:r>
        <w:tab/>
      </w:r>
      <w:r>
        <w:tab/>
      </w:r>
      <w:r>
        <w:tab/>
      </w:r>
      <w:r>
        <w:tab/>
      </w:r>
      <w:r>
        <w:rPr>
          <w:rFonts w:hint="cs"/>
          <w:b/>
          <w:bCs/>
          <w:rtl/>
        </w:rPr>
        <w:t>מרב מיכאלי</w:t>
      </w:r>
      <w:r>
        <w:br/>
      </w:r>
      <w:r>
        <w:rPr>
          <w:rFonts w:hint="cs"/>
          <w:b/>
          <w:bCs/>
          <w:rtl/>
        </w:rPr>
        <w:t xml:space="preserve"> </w:t>
      </w:r>
      <w:r>
        <w:tab/>
      </w:r>
      <w:r>
        <w:tab/>
      </w:r>
      <w:r>
        <w:tab/>
      </w:r>
      <w:r>
        <w:tab/>
      </w:r>
      <w:r>
        <w:rPr>
          <w:rFonts w:hint="cs"/>
          <w:b/>
          <w:bCs/>
          <w:rtl/>
        </w:rPr>
        <w:t>נחמן שי</w:t>
      </w:r>
      <w:r>
        <w:br/>
      </w:r>
      <w:r>
        <w:rPr>
          <w:rFonts w:hint="cs"/>
          <w:b/>
          <w:bCs/>
          <w:rtl/>
        </w:rPr>
        <w:t xml:space="preserve"> </w:t>
      </w:r>
      <w:r>
        <w:tab/>
      </w:r>
      <w:r>
        <w:tab/>
      </w:r>
      <w:r>
        <w:tab/>
      </w:r>
      <w:r>
        <w:tab/>
      </w:r>
      <w:r>
        <w:rPr>
          <w:rFonts w:hint="cs"/>
          <w:b/>
          <w:bCs/>
          <w:rtl/>
        </w:rPr>
        <w:t>יחיאל חיליק בר</w:t>
      </w:r>
      <w:r>
        <w:br/>
      </w:r>
      <w:r>
        <w:rPr>
          <w:rFonts w:hint="cs"/>
          <w:b/>
          <w:bCs/>
          <w:rtl/>
        </w:rPr>
        <w:t xml:space="preserve"> </w:t>
      </w:r>
      <w:r>
        <w:tab/>
      </w:r>
      <w:r>
        <w:tab/>
      </w:r>
      <w:r>
        <w:tab/>
      </w:r>
      <w:r>
        <w:tab/>
      </w:r>
      <w:r>
        <w:rPr>
          <w:rFonts w:hint="cs"/>
          <w:b/>
          <w:bCs/>
          <w:rtl/>
        </w:rPr>
        <w:t>יואל חסון</w:t>
      </w:r>
      <w:r>
        <w:br/>
      </w:r>
      <w:r>
        <w:rPr>
          <w:rFonts w:hint="cs"/>
          <w:b/>
          <w:bCs/>
          <w:rtl/>
        </w:rPr>
        <w:t xml:space="preserve"> </w:t>
      </w:r>
      <w:r>
        <w:tab/>
      </w:r>
      <w:r>
        <w:tab/>
      </w:r>
      <w:r>
        <w:tab/>
      </w:r>
      <w:r>
        <w:tab/>
      </w:r>
      <w:r>
        <w:rPr>
          <w:rFonts w:hint="cs"/>
          <w:b/>
          <w:bCs/>
          <w:rtl/>
        </w:rPr>
        <w:t>רויטל סויד</w:t>
      </w:r>
      <w:r>
        <w:br/>
      </w:r>
      <w:r>
        <w:rPr>
          <w:rFonts w:hint="cs"/>
          <w:b/>
          <w:bCs/>
          <w:rtl/>
        </w:rPr>
        <w:t xml:space="preserve"> </w:t>
      </w:r>
      <w:r>
        <w:tab/>
      </w:r>
      <w:r>
        <w:tab/>
      </w:r>
      <w:r>
        <w:tab/>
      </w:r>
      <w:r>
        <w:tab/>
      </w:r>
      <w:r>
        <w:rPr>
          <w:rFonts w:hint="cs"/>
          <w:b/>
          <w:bCs/>
          <w:rtl/>
        </w:rPr>
        <w:t>מיקי רוזנטל</w:t>
      </w:r>
      <w:r>
        <w:br/>
      </w:r>
      <w:r>
        <w:rPr>
          <w:rFonts w:hint="cs"/>
          <w:b/>
          <w:bCs/>
          <w:rtl/>
        </w:rPr>
        <w:t xml:space="preserve"> </w:t>
      </w:r>
      <w:r>
        <w:tab/>
      </w:r>
      <w:r>
        <w:tab/>
      </w:r>
      <w:r>
        <w:tab/>
      </w:r>
      <w:r>
        <w:tab/>
      </w:r>
      <w:r>
        <w:rPr>
          <w:rFonts w:hint="cs"/>
          <w:b/>
          <w:bCs/>
          <w:rtl/>
        </w:rPr>
        <w:t>עמר בר-לב</w:t>
      </w:r>
      <w:r>
        <w:br/>
      </w:r>
      <w:r>
        <w:rPr>
          <w:rFonts w:hint="cs"/>
          <w:b/>
          <w:bCs/>
          <w:rtl/>
        </w:rPr>
        <w:t xml:space="preserve"> </w:t>
      </w:r>
      <w:r>
        <w:tab/>
      </w:r>
      <w:r>
        <w:tab/>
      </w:r>
      <w:r>
        <w:tab/>
      </w:r>
      <w:r>
        <w:tab/>
      </w:r>
      <w:r>
        <w:rPr>
          <w:rFonts w:hint="cs"/>
          <w:b/>
          <w:bCs/>
          <w:rtl/>
        </w:rPr>
        <w:t>איציק שמולי</w:t>
      </w:r>
      <w:r>
        <w:br/>
      </w:r>
      <w:r>
        <w:rPr>
          <w:rFonts w:hint="cs"/>
          <w:b/>
          <w:bCs/>
          <w:rtl/>
        </w:rPr>
        <w:t xml:space="preserve"> </w:t>
      </w:r>
      <w:r>
        <w:tab/>
      </w:r>
      <w:r>
        <w:tab/>
      </w:r>
      <w:r>
        <w:tab/>
      </w:r>
      <w:r>
        <w:tab/>
      </w:r>
      <w:r>
        <w:rPr>
          <w:rFonts w:hint="cs"/>
          <w:b/>
          <w:bCs/>
          <w:rtl/>
        </w:rPr>
        <w:t>סתיו שפיר</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315C4C5" w:rsidR="00E13C27" w:rsidRPr="00E06736" w:rsidRDefault="00F15ADC" w:rsidP="00F15ADC">
      <w:pPr>
        <w:pStyle w:val="David"/>
        <w:spacing w:line="240" w:lineRule="auto"/>
        <w:ind w:left="3600"/>
        <w:rPr>
          <w:rtl/>
        </w:rPr>
      </w:pPr>
      <w:r>
        <w:rPr>
          <w:rFonts w:hint="cs"/>
          <w:rtl/>
        </w:rPr>
        <w:t xml:space="preserve">       </w:t>
      </w:r>
      <w:r w:rsidR="00904591">
        <w:t xml:space="preserve">                                            </w:t>
      </w:r>
      <w:r w:rsidR="008F1308">
        <w:t xml:space="preserve"> </w:t>
      </w:r>
      <w:bookmarkStart w:id="6" w:name="Private_Number"/>
      <w:r w:rsidR="00904591">
        <w:rPr>
          <w:rFonts w:hint="cs"/>
          <w:rtl/>
        </w:rPr>
        <w:t>פ/5966/20</w:t>
      </w:r>
      <w:bookmarkEnd w:id="6"/>
    </w:p>
    <w:p w14:paraId="7F6961AC" w14:textId="77777777" w:rsidR="00E13C27" w:rsidRDefault="00E13C27" w:rsidP="00E13C27">
      <w:pPr>
        <w:ind w:left="2880" w:firstLine="720"/>
        <w:rPr>
          <w:sz w:val="26"/>
          <w:szCs w:val="26"/>
          <w:rtl/>
        </w:rPr>
      </w:pPr>
    </w:p>
    <w:p w14:paraId="7F6961AD" w14:textId="17A2112D" w:rsidR="00E13C27" w:rsidRPr="00F67051" w:rsidRDefault="00A443CF" w:rsidP="00F15ADC">
      <w:pPr>
        <w:pStyle w:val="HeadHatzaotHok"/>
        <w:rPr>
          <w:rtl/>
        </w:rPr>
      </w:pPr>
      <w:bookmarkStart w:id="7" w:name="LGS_Subject"/>
      <w:r>
        <w:rPr>
          <w:rFonts w:hint="cs"/>
          <w:rtl/>
        </w:rPr>
        <w:t xml:space="preserve">הצעת חוק ביטוח בריאות ממלכתי (תיקון </w:t>
      </w:r>
      <w:r w:rsidR="00F15ADC">
        <w:rPr>
          <w:rFonts w:hint="eastAsia"/>
          <w:rtl/>
        </w:rPr>
        <w:t>–</w:t>
      </w:r>
      <w:r>
        <w:rPr>
          <w:rFonts w:hint="cs"/>
          <w:rtl/>
        </w:rPr>
        <w:t xml:space="preserve"> עדכון עלות הסל לקופות בהתאם לגידול הדמוגרפי ולהזדקנות האוכלוסייה), התשע"ט–2018</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519"/>
      </w:tblGrid>
      <w:tr w:rsidR="00831276" w14:paraId="12CE0457" w14:textId="77777777" w:rsidTr="000000A1">
        <w:trPr>
          <w:cantSplit/>
        </w:trPr>
        <w:tc>
          <w:tcPr>
            <w:tcW w:w="1871" w:type="dxa"/>
            <w:tcBorders>
              <w:top w:val="nil"/>
              <w:left w:val="nil"/>
              <w:bottom w:val="nil"/>
              <w:right w:val="nil"/>
            </w:tcBorders>
          </w:tcPr>
          <w:p w14:paraId="79CBB259" w14:textId="77777777" w:rsidR="00831276" w:rsidRDefault="00831276" w:rsidP="00B4704D">
            <w:pPr>
              <w:pStyle w:val="TableSideHeading"/>
              <w:keepLines w:val="0"/>
            </w:pPr>
            <w:r>
              <w:rPr>
                <w:sz w:val="26"/>
                <w:rtl/>
              </w:rPr>
              <w:t xml:space="preserve">תיקון סעיף </w:t>
            </w:r>
            <w:r>
              <w:rPr>
                <w:rFonts w:hint="cs"/>
                <w:sz w:val="26"/>
                <w:rtl/>
              </w:rPr>
              <w:t>9</w:t>
            </w:r>
          </w:p>
        </w:tc>
        <w:tc>
          <w:tcPr>
            <w:tcW w:w="624" w:type="dxa"/>
            <w:tcBorders>
              <w:top w:val="nil"/>
              <w:left w:val="nil"/>
              <w:bottom w:val="nil"/>
              <w:right w:val="nil"/>
            </w:tcBorders>
          </w:tcPr>
          <w:p w14:paraId="1685F380" w14:textId="77777777" w:rsidR="00831276" w:rsidRDefault="00831276" w:rsidP="00B4704D">
            <w:pPr>
              <w:pStyle w:val="TableText"/>
              <w:keepLines w:val="0"/>
            </w:pPr>
            <w:r>
              <w:rPr>
                <w:sz w:val="26"/>
                <w:rtl/>
              </w:rPr>
              <w:t>1.</w:t>
            </w:r>
          </w:p>
        </w:tc>
        <w:tc>
          <w:tcPr>
            <w:tcW w:w="7143" w:type="dxa"/>
            <w:gridSpan w:val="2"/>
            <w:tcBorders>
              <w:top w:val="nil"/>
              <w:left w:val="nil"/>
              <w:bottom w:val="nil"/>
              <w:right w:val="nil"/>
            </w:tcBorders>
          </w:tcPr>
          <w:p w14:paraId="2BDB3005" w14:textId="77777777" w:rsidR="00831276" w:rsidRDefault="00831276" w:rsidP="00E65BBD">
            <w:pPr>
              <w:pStyle w:val="TableBlock"/>
            </w:pPr>
            <w:r>
              <w:rPr>
                <w:sz w:val="26"/>
                <w:rtl/>
              </w:rPr>
              <w:t xml:space="preserve">בחוק </w:t>
            </w:r>
            <w:r>
              <w:rPr>
                <w:rFonts w:hint="cs"/>
                <w:sz w:val="26"/>
                <w:rtl/>
              </w:rPr>
              <w:t>ביטוח בריאות ממלכתי, התשנ''ד</w:t>
            </w:r>
            <w:r>
              <w:rPr>
                <w:rFonts w:hint="eastAsia"/>
                <w:sz w:val="26"/>
                <w:rtl/>
              </w:rPr>
              <w:t>–</w:t>
            </w:r>
            <w:r>
              <w:rPr>
                <w:rFonts w:hint="cs"/>
                <w:sz w:val="26"/>
                <w:rtl/>
              </w:rPr>
              <w:t>1994</w:t>
            </w:r>
            <w:r w:rsidRPr="000000A1">
              <w:rPr>
                <w:rStyle w:val="a6"/>
                <w:rFonts w:ascii="David" w:hAnsi="David"/>
                <w:sz w:val="26"/>
                <w:rtl/>
              </w:rPr>
              <w:footnoteReference w:id="2"/>
            </w:r>
            <w:r>
              <w:rPr>
                <w:rFonts w:hint="cs"/>
                <w:sz w:val="26"/>
                <w:rtl/>
              </w:rPr>
              <w:t xml:space="preserve">, </w:t>
            </w:r>
            <w:r>
              <w:rPr>
                <w:sz w:val="26"/>
                <w:rtl/>
              </w:rPr>
              <w:t>בסעיף</w:t>
            </w:r>
            <w:r>
              <w:rPr>
                <w:rFonts w:hint="cs"/>
                <w:sz w:val="26"/>
                <w:rtl/>
              </w:rPr>
              <w:t xml:space="preserve"> 9</w:t>
            </w:r>
            <w:r>
              <w:rPr>
                <w:sz w:val="26"/>
                <w:rtl/>
              </w:rPr>
              <w:t>(ב)</w:t>
            </w:r>
            <w:r>
              <w:rPr>
                <w:rFonts w:hint="cs"/>
                <w:sz w:val="26"/>
                <w:rtl/>
              </w:rPr>
              <w:t xml:space="preserve"> </w:t>
            </w:r>
            <w:r>
              <w:rPr>
                <w:rFonts w:hint="eastAsia"/>
                <w:sz w:val="26"/>
                <w:rtl/>
              </w:rPr>
              <w:t>–</w:t>
            </w:r>
            <w:r>
              <w:rPr>
                <w:rFonts w:hint="cs"/>
                <w:sz w:val="26"/>
                <w:rtl/>
              </w:rPr>
              <w:t xml:space="preserve"> </w:t>
            </w:r>
          </w:p>
        </w:tc>
      </w:tr>
      <w:tr w:rsidR="00831276" w14:paraId="52D10DA8" w14:textId="77777777" w:rsidTr="000000A1">
        <w:trPr>
          <w:cantSplit/>
        </w:trPr>
        <w:tc>
          <w:tcPr>
            <w:tcW w:w="1871" w:type="dxa"/>
            <w:tcBorders>
              <w:top w:val="nil"/>
              <w:left w:val="nil"/>
              <w:bottom w:val="nil"/>
              <w:right w:val="nil"/>
            </w:tcBorders>
          </w:tcPr>
          <w:p w14:paraId="04892CE4" w14:textId="77777777" w:rsidR="00831276" w:rsidRDefault="00831276" w:rsidP="00B4704D">
            <w:pPr>
              <w:pStyle w:val="TableSideHeading"/>
              <w:keepLines w:val="0"/>
              <w:rPr>
                <w:sz w:val="26"/>
                <w:rtl/>
              </w:rPr>
            </w:pPr>
          </w:p>
        </w:tc>
        <w:tc>
          <w:tcPr>
            <w:tcW w:w="624" w:type="dxa"/>
            <w:tcBorders>
              <w:top w:val="nil"/>
              <w:left w:val="nil"/>
              <w:bottom w:val="nil"/>
              <w:right w:val="nil"/>
            </w:tcBorders>
          </w:tcPr>
          <w:p w14:paraId="1D8BCB8C" w14:textId="77777777" w:rsidR="00831276" w:rsidRDefault="00831276" w:rsidP="00B4704D">
            <w:pPr>
              <w:pStyle w:val="TableText"/>
              <w:keepLines w:val="0"/>
              <w:rPr>
                <w:sz w:val="26"/>
                <w:rtl/>
              </w:rPr>
            </w:pPr>
          </w:p>
        </w:tc>
        <w:tc>
          <w:tcPr>
            <w:tcW w:w="7143" w:type="dxa"/>
            <w:gridSpan w:val="2"/>
            <w:tcBorders>
              <w:top w:val="nil"/>
              <w:left w:val="nil"/>
              <w:bottom w:val="nil"/>
              <w:right w:val="nil"/>
            </w:tcBorders>
          </w:tcPr>
          <w:p w14:paraId="170C6D7D" w14:textId="2326E8F5" w:rsidR="00831276" w:rsidRDefault="00831276" w:rsidP="0016648B">
            <w:pPr>
              <w:pStyle w:val="TableBlock"/>
              <w:rPr>
                <w:sz w:val="26"/>
                <w:rtl/>
              </w:rPr>
            </w:pPr>
            <w:r>
              <w:rPr>
                <w:rFonts w:hint="cs"/>
                <w:sz w:val="26"/>
                <w:rtl/>
              </w:rPr>
              <w:t>(1)</w:t>
            </w:r>
            <w:r>
              <w:rPr>
                <w:sz w:val="26"/>
                <w:rtl/>
              </w:rPr>
              <w:tab/>
            </w:r>
            <w:r>
              <w:rPr>
                <w:rFonts w:hint="cs"/>
                <w:sz w:val="26"/>
                <w:rtl/>
              </w:rPr>
              <w:t>בפסקה (3)</w:t>
            </w:r>
            <w:r w:rsidR="00816988">
              <w:rPr>
                <w:rFonts w:hint="cs"/>
                <w:sz w:val="26"/>
                <w:rtl/>
              </w:rPr>
              <w:t>,</w:t>
            </w:r>
            <w:r>
              <w:rPr>
                <w:rFonts w:hint="cs"/>
                <w:sz w:val="26"/>
                <w:rtl/>
              </w:rPr>
              <w:t xml:space="preserve"> המילים</w:t>
            </w:r>
            <w:r w:rsidRPr="00E47D31">
              <w:rPr>
                <w:sz w:val="26"/>
              </w:rPr>
              <w:t> </w:t>
            </w:r>
            <w:r>
              <w:rPr>
                <w:rFonts w:hint="cs"/>
                <w:sz w:val="26"/>
                <w:rtl/>
              </w:rPr>
              <w:t>"</w:t>
            </w:r>
            <w:r w:rsidRPr="00E47D31">
              <w:rPr>
                <w:sz w:val="26"/>
                <w:rtl/>
              </w:rPr>
              <w:t>או לעדכן את עלות הסל לקופות בשל השינויים הדמוגרפיים שחלו באוכלוס</w:t>
            </w:r>
            <w:r>
              <w:rPr>
                <w:rFonts w:hint="cs"/>
                <w:sz w:val="26"/>
                <w:rtl/>
              </w:rPr>
              <w:t>י</w:t>
            </w:r>
            <w:r w:rsidRPr="00E47D31">
              <w:rPr>
                <w:sz w:val="26"/>
                <w:rtl/>
              </w:rPr>
              <w:t>יה</w:t>
            </w:r>
            <w:r>
              <w:rPr>
                <w:rFonts w:hint="cs"/>
                <w:rtl/>
              </w:rPr>
              <w:t xml:space="preserve">" </w:t>
            </w:r>
            <w:r>
              <w:rPr>
                <w:rFonts w:hint="eastAsia"/>
                <w:rtl/>
              </w:rPr>
              <w:t>–</w:t>
            </w:r>
            <w:r>
              <w:rPr>
                <w:rFonts w:hint="cs"/>
                <w:rtl/>
              </w:rPr>
              <w:t xml:space="preserve"> יימחקו;</w:t>
            </w:r>
          </w:p>
        </w:tc>
      </w:tr>
      <w:tr w:rsidR="00831276" w14:paraId="0B68DB70" w14:textId="77777777" w:rsidTr="000000A1">
        <w:trPr>
          <w:cantSplit/>
        </w:trPr>
        <w:tc>
          <w:tcPr>
            <w:tcW w:w="1871" w:type="dxa"/>
            <w:tcBorders>
              <w:top w:val="nil"/>
              <w:left w:val="nil"/>
              <w:bottom w:val="nil"/>
              <w:right w:val="nil"/>
            </w:tcBorders>
          </w:tcPr>
          <w:p w14:paraId="3905B72E" w14:textId="77777777" w:rsidR="00831276" w:rsidRDefault="00831276" w:rsidP="00B4704D">
            <w:pPr>
              <w:pStyle w:val="TableSideHeading"/>
              <w:keepLines w:val="0"/>
              <w:rPr>
                <w:sz w:val="26"/>
                <w:rtl/>
              </w:rPr>
            </w:pPr>
          </w:p>
        </w:tc>
        <w:tc>
          <w:tcPr>
            <w:tcW w:w="624" w:type="dxa"/>
            <w:tcBorders>
              <w:top w:val="nil"/>
              <w:left w:val="nil"/>
              <w:bottom w:val="nil"/>
              <w:right w:val="nil"/>
            </w:tcBorders>
          </w:tcPr>
          <w:p w14:paraId="2B512EB0" w14:textId="77777777" w:rsidR="00831276" w:rsidRDefault="00831276" w:rsidP="00B4704D">
            <w:pPr>
              <w:pStyle w:val="TableText"/>
              <w:keepLines w:val="0"/>
              <w:rPr>
                <w:sz w:val="26"/>
                <w:rtl/>
              </w:rPr>
            </w:pPr>
          </w:p>
        </w:tc>
        <w:tc>
          <w:tcPr>
            <w:tcW w:w="7143" w:type="dxa"/>
            <w:gridSpan w:val="2"/>
            <w:tcBorders>
              <w:top w:val="nil"/>
              <w:left w:val="nil"/>
              <w:bottom w:val="nil"/>
              <w:right w:val="nil"/>
            </w:tcBorders>
          </w:tcPr>
          <w:p w14:paraId="6478DAA5" w14:textId="77777777" w:rsidR="00831276" w:rsidRDefault="00831276" w:rsidP="0016648B">
            <w:pPr>
              <w:pStyle w:val="TableBlock"/>
              <w:rPr>
                <w:sz w:val="26"/>
                <w:rtl/>
              </w:rPr>
            </w:pPr>
            <w:r>
              <w:rPr>
                <w:rFonts w:hint="cs"/>
                <w:sz w:val="26"/>
                <w:rtl/>
              </w:rPr>
              <w:t>(2)</w:t>
            </w:r>
            <w:r>
              <w:rPr>
                <w:sz w:val="26"/>
                <w:rtl/>
              </w:rPr>
              <w:tab/>
            </w:r>
            <w:r>
              <w:rPr>
                <w:rFonts w:hint="cs"/>
                <w:sz w:val="26"/>
                <w:rtl/>
              </w:rPr>
              <w:t>אחרי פסקה (3) יבוא:</w:t>
            </w:r>
          </w:p>
        </w:tc>
      </w:tr>
      <w:tr w:rsidR="00831276" w14:paraId="4FFB771F" w14:textId="77777777" w:rsidTr="000000A1">
        <w:tblPrEx>
          <w:tblLook w:val="01E0" w:firstRow="1" w:lastRow="1" w:firstColumn="1" w:lastColumn="1" w:noHBand="0" w:noVBand="0"/>
        </w:tblPrEx>
        <w:trPr>
          <w:cantSplit/>
        </w:trPr>
        <w:tc>
          <w:tcPr>
            <w:tcW w:w="1871" w:type="dxa"/>
          </w:tcPr>
          <w:p w14:paraId="50B715F4" w14:textId="77777777" w:rsidR="00831276" w:rsidRDefault="00831276" w:rsidP="00B4704D">
            <w:pPr>
              <w:pStyle w:val="TableSideHeading"/>
            </w:pPr>
          </w:p>
        </w:tc>
        <w:tc>
          <w:tcPr>
            <w:tcW w:w="624" w:type="dxa"/>
          </w:tcPr>
          <w:p w14:paraId="1AD2094F" w14:textId="77777777" w:rsidR="00831276" w:rsidRDefault="00831276" w:rsidP="00B4704D">
            <w:pPr>
              <w:pStyle w:val="TableText"/>
            </w:pPr>
          </w:p>
        </w:tc>
        <w:tc>
          <w:tcPr>
            <w:tcW w:w="624" w:type="dxa"/>
          </w:tcPr>
          <w:p w14:paraId="06BBE31C" w14:textId="77777777" w:rsidR="00831276" w:rsidRDefault="00831276" w:rsidP="00B4704D">
            <w:pPr>
              <w:pStyle w:val="TableText"/>
            </w:pPr>
          </w:p>
        </w:tc>
        <w:tc>
          <w:tcPr>
            <w:tcW w:w="6519" w:type="dxa"/>
          </w:tcPr>
          <w:p w14:paraId="7104609E" w14:textId="6A57B7C8" w:rsidR="00831276" w:rsidRDefault="00816988" w:rsidP="000000A1">
            <w:pPr>
              <w:pStyle w:val="TableBlock"/>
            </w:pPr>
            <w:r>
              <w:rPr>
                <w:rFonts w:hint="cs"/>
                <w:rtl/>
              </w:rPr>
              <w:t>"</w:t>
            </w:r>
            <w:r w:rsidR="00831276" w:rsidRPr="007E217E">
              <w:rPr>
                <w:rFonts w:hint="cs"/>
                <w:rtl/>
              </w:rPr>
              <w:t xml:space="preserve">(4) </w:t>
            </w:r>
            <w:r w:rsidR="00831276">
              <w:rPr>
                <w:rFonts w:hint="cs"/>
                <w:rtl/>
              </w:rPr>
              <w:t xml:space="preserve">נוסף על האמור בפסקה (1), </w:t>
            </w:r>
            <w:r w:rsidR="00831276" w:rsidRPr="007E217E">
              <w:rPr>
                <w:rFonts w:hint="cs"/>
                <w:rtl/>
              </w:rPr>
              <w:t xml:space="preserve">עלות הסל לקופות תתעדכן </w:t>
            </w:r>
            <w:r w:rsidR="00831276">
              <w:rPr>
                <w:rFonts w:hint="cs"/>
                <w:rtl/>
              </w:rPr>
              <w:t xml:space="preserve">מדי שנה </w:t>
            </w:r>
            <w:r w:rsidR="00831276" w:rsidRPr="007E217E">
              <w:rPr>
                <w:rFonts w:hint="cs"/>
                <w:rtl/>
              </w:rPr>
              <w:t>בהתאם ל</w:t>
            </w:r>
            <w:r w:rsidR="00831276">
              <w:rPr>
                <w:rFonts w:hint="cs"/>
                <w:rtl/>
              </w:rPr>
              <w:t>שינוי</w:t>
            </w:r>
            <w:r w:rsidR="00831276" w:rsidRPr="007E217E">
              <w:rPr>
                <w:rFonts w:hint="cs"/>
                <w:rtl/>
              </w:rPr>
              <w:t xml:space="preserve"> הדמוגרפי ולהזדקנות </w:t>
            </w:r>
            <w:r w:rsidR="00831276">
              <w:rPr>
                <w:rFonts w:hint="cs"/>
                <w:rtl/>
              </w:rPr>
              <w:t>שחלו ב</w:t>
            </w:r>
            <w:r w:rsidR="00831276" w:rsidRPr="007E217E">
              <w:rPr>
                <w:rFonts w:hint="cs"/>
                <w:rtl/>
              </w:rPr>
              <w:t xml:space="preserve">אוכלוסייה, </w:t>
            </w:r>
            <w:r w:rsidR="00831276" w:rsidRPr="0098712E">
              <w:rPr>
                <w:rFonts w:hint="eastAsia"/>
                <w:rtl/>
              </w:rPr>
              <w:t>בהתאם</w:t>
            </w:r>
            <w:r w:rsidR="00831276" w:rsidRPr="0098712E">
              <w:rPr>
                <w:rtl/>
              </w:rPr>
              <w:t xml:space="preserve"> </w:t>
            </w:r>
            <w:r w:rsidR="00831276" w:rsidRPr="0098712E">
              <w:rPr>
                <w:rFonts w:hint="eastAsia"/>
                <w:rtl/>
              </w:rPr>
              <w:t>ל</w:t>
            </w:r>
            <w:r w:rsidR="00831276">
              <w:rPr>
                <w:rFonts w:hint="cs"/>
                <w:rtl/>
              </w:rPr>
              <w:t xml:space="preserve">נתונים שמפרסמת </w:t>
            </w:r>
            <w:r w:rsidR="00831276" w:rsidRPr="00305FA0">
              <w:rPr>
                <w:rtl/>
              </w:rPr>
              <w:t>הלשכה המרכזית לסטטיסטיקה.</w:t>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2318690A" w14:textId="73A9D20F" w:rsidR="00831276" w:rsidRDefault="00831276" w:rsidP="00831276">
      <w:pPr>
        <w:pStyle w:val="Hesber"/>
      </w:pPr>
      <w:r>
        <w:rPr>
          <w:rFonts w:hint="cs"/>
          <w:rtl/>
        </w:rPr>
        <w:t>חוק ביטוח בריאות ממלכתי, התשנ''ד</w:t>
      </w:r>
      <w:r>
        <w:rPr>
          <w:rFonts w:hint="eastAsia"/>
          <w:rtl/>
        </w:rPr>
        <w:t>–</w:t>
      </w:r>
      <w:r>
        <w:rPr>
          <w:rFonts w:hint="cs"/>
          <w:rtl/>
        </w:rPr>
        <w:t>1994, מאפשר לשר הבריאות ולשר האוצר, על פי המלצת מועצת הבריאות ובאישור ועדת העבודה</w:t>
      </w:r>
      <w:r w:rsidR="00E65BBD">
        <w:rPr>
          <w:rFonts w:hint="cs"/>
          <w:rtl/>
        </w:rPr>
        <w:t>,</w:t>
      </w:r>
      <w:r>
        <w:rPr>
          <w:rFonts w:hint="cs"/>
          <w:rtl/>
        </w:rPr>
        <w:t xml:space="preserve"> הרווחה</w:t>
      </w:r>
      <w:r w:rsidR="00E65BBD">
        <w:rPr>
          <w:rFonts w:hint="cs"/>
          <w:rtl/>
        </w:rPr>
        <w:t xml:space="preserve"> והבריאות</w:t>
      </w:r>
      <w:r>
        <w:rPr>
          <w:rFonts w:hint="cs"/>
          <w:rtl/>
        </w:rPr>
        <w:t xml:space="preserve"> של הכנסת, לשנות בצו את מדד יוקר הבריאות, או לעדכן את עלות הסל לקופות החולים בהתאם לשינויים הדמוגרפיים. כלומר, מדובר בהחלטת ממשלה המושפעת משיקולים פוליטיים, תלויה במשא ומתן ומתעלמת מהשינויים הדמוגרפיים כפי שהם מתרחשים בפועל ומשפיעים על צרכי קופות החולים. </w:t>
      </w:r>
    </w:p>
    <w:p w14:paraId="7A8256FB" w14:textId="2AFD384D" w:rsidR="00831276" w:rsidRDefault="00816988" w:rsidP="00F15ADC">
      <w:pPr>
        <w:pStyle w:val="Hesber"/>
        <w:rPr>
          <w:rtl/>
        </w:rPr>
      </w:pPr>
      <w:r>
        <w:rPr>
          <w:rFonts w:hint="cs"/>
          <w:rtl/>
        </w:rPr>
        <w:t xml:space="preserve">בשנת </w:t>
      </w:r>
      <w:r w:rsidR="00831276">
        <w:rPr>
          <w:rFonts w:hint="cs"/>
          <w:rtl/>
        </w:rPr>
        <w:t>2014 הוועדה המייעצת לחיזוק מערכת הבריאות</w:t>
      </w:r>
      <w:r w:rsidR="00E65BBD">
        <w:rPr>
          <w:rFonts w:hint="cs"/>
          <w:rtl/>
        </w:rPr>
        <w:t xml:space="preserve"> (להלן </w:t>
      </w:r>
      <w:r w:rsidR="0016648B">
        <w:rPr>
          <w:rFonts w:hint="eastAsia"/>
          <w:rtl/>
        </w:rPr>
        <w:t>–</w:t>
      </w:r>
      <w:r w:rsidR="0016648B">
        <w:rPr>
          <w:rFonts w:hint="cs"/>
          <w:rtl/>
        </w:rPr>
        <w:t xml:space="preserve"> ועדת גרמן)</w:t>
      </w:r>
      <w:r w:rsidR="00E65BBD">
        <w:rPr>
          <w:rFonts w:hint="cs"/>
          <w:rtl/>
        </w:rPr>
        <w:t>,</w:t>
      </w:r>
      <w:r w:rsidR="00831276">
        <w:rPr>
          <w:rFonts w:hint="cs"/>
          <w:rtl/>
        </w:rPr>
        <w:t xml:space="preserve"> בראשות שרת הבריאות דאז יעל גרמן</w:t>
      </w:r>
      <w:r>
        <w:rPr>
          <w:rFonts w:hint="cs"/>
          <w:rtl/>
        </w:rPr>
        <w:t>, פרסמה את המלצותיה.</w:t>
      </w:r>
      <w:r w:rsidR="00E65BBD">
        <w:rPr>
          <w:rFonts w:hint="cs"/>
          <w:rtl/>
        </w:rPr>
        <w:t xml:space="preserve"> בין היתר, </w:t>
      </w:r>
      <w:r w:rsidR="0016648B">
        <w:rPr>
          <w:rFonts w:hint="cs"/>
          <w:rtl/>
        </w:rPr>
        <w:t xml:space="preserve">ועדת גרמן התייחסה </w:t>
      </w:r>
      <w:r w:rsidR="00831276">
        <w:rPr>
          <w:rFonts w:hint="cs"/>
          <w:rtl/>
        </w:rPr>
        <w:t xml:space="preserve"> </w:t>
      </w:r>
      <w:r w:rsidR="0016648B">
        <w:rPr>
          <w:rFonts w:hint="cs"/>
          <w:rtl/>
        </w:rPr>
        <w:t xml:space="preserve">לפערים </w:t>
      </w:r>
      <w:r w:rsidR="00831276">
        <w:rPr>
          <w:rFonts w:hint="cs"/>
          <w:rtl/>
        </w:rPr>
        <w:t>בין התקצוב שמקבלות קופות החולים בפועל</w:t>
      </w:r>
      <w:r w:rsidR="0016648B">
        <w:rPr>
          <w:rFonts w:hint="cs"/>
          <w:rtl/>
        </w:rPr>
        <w:t>,</w:t>
      </w:r>
      <w:r w:rsidR="00831276">
        <w:rPr>
          <w:rFonts w:hint="cs"/>
          <w:rtl/>
        </w:rPr>
        <w:t xml:space="preserve"> </w:t>
      </w:r>
      <w:r>
        <w:rPr>
          <w:rFonts w:hint="cs"/>
          <w:rtl/>
        </w:rPr>
        <w:t xml:space="preserve">ובין </w:t>
      </w:r>
      <w:r w:rsidR="00831276">
        <w:rPr>
          <w:rFonts w:hint="cs"/>
          <w:rtl/>
        </w:rPr>
        <w:t>הצורך האובייקטיבי שלהן בהתאם לשינויים הדמוגרפיים</w:t>
      </w:r>
      <w:r w:rsidR="0016648B">
        <w:rPr>
          <w:rFonts w:hint="cs"/>
          <w:rtl/>
        </w:rPr>
        <w:t>. ועדת גרמן המליצה לעגן מנגנון פיצוי שיביא לידי ביטוי באופן מלא את הגידול הדמוגרפ</w:t>
      </w:r>
      <w:r w:rsidR="0016648B">
        <w:rPr>
          <w:rFonts w:hint="eastAsia"/>
          <w:rtl/>
        </w:rPr>
        <w:t>י</w:t>
      </w:r>
      <w:r w:rsidR="0016648B">
        <w:rPr>
          <w:rFonts w:hint="cs"/>
          <w:rtl/>
        </w:rPr>
        <w:t>.</w:t>
      </w:r>
      <w:r w:rsidR="00831276">
        <w:rPr>
          <w:rFonts w:hint="cs"/>
          <w:rtl/>
        </w:rPr>
        <w:t xml:space="preserve"> כתוצאה מפערים </w:t>
      </w:r>
      <w:r>
        <w:rPr>
          <w:rFonts w:hint="cs"/>
          <w:rtl/>
        </w:rPr>
        <w:t xml:space="preserve">אלה </w:t>
      </w:r>
      <w:r w:rsidR="00831276">
        <w:rPr>
          <w:rFonts w:hint="cs"/>
          <w:rtl/>
        </w:rPr>
        <w:t xml:space="preserve">נגרמת פגיעה חמורה בשירותי הבריאות שמעניקות הקופות למטופלים. הפער התקציבי בשל הגידול הדמוגרפי גורם להתארכות </w:t>
      </w:r>
      <w:r w:rsidR="0016648B">
        <w:rPr>
          <w:rFonts w:hint="cs"/>
          <w:rtl/>
        </w:rPr>
        <w:t>ה</w:t>
      </w:r>
      <w:r w:rsidR="00831276">
        <w:rPr>
          <w:rFonts w:hint="cs"/>
          <w:rtl/>
        </w:rPr>
        <w:t xml:space="preserve">תורים, לפגיעה בשירותים לאוכלוסיות תלויות כגון תינוקות, ילדים וקשישים </w:t>
      </w:r>
      <w:r w:rsidR="0016648B">
        <w:rPr>
          <w:rFonts w:hint="cs"/>
          <w:rtl/>
        </w:rPr>
        <w:t xml:space="preserve">ולהתייקרות </w:t>
      </w:r>
      <w:r w:rsidR="00831276">
        <w:rPr>
          <w:rFonts w:hint="cs"/>
          <w:rtl/>
        </w:rPr>
        <w:t xml:space="preserve">ההוצאה הפרטית </w:t>
      </w:r>
      <w:r w:rsidR="0016648B">
        <w:rPr>
          <w:rFonts w:hint="cs"/>
          <w:rtl/>
        </w:rPr>
        <w:t xml:space="preserve">שמוציא </w:t>
      </w:r>
      <w:r w:rsidR="00831276">
        <w:rPr>
          <w:rFonts w:hint="cs"/>
          <w:rtl/>
        </w:rPr>
        <w:t xml:space="preserve">משק בית על בריאות. </w:t>
      </w:r>
      <w:r w:rsidR="000000A1">
        <w:rPr>
          <w:rFonts w:hint="cs"/>
          <w:rtl/>
        </w:rPr>
        <w:t xml:space="preserve">המחסור </w:t>
      </w:r>
      <w:r w:rsidR="00831276">
        <w:rPr>
          <w:rFonts w:hint="cs"/>
          <w:rtl/>
        </w:rPr>
        <w:t xml:space="preserve">בתקצוב </w:t>
      </w:r>
      <w:r w:rsidR="000000A1">
        <w:rPr>
          <w:rFonts w:hint="cs"/>
          <w:rtl/>
        </w:rPr>
        <w:t xml:space="preserve">והשתת </w:t>
      </w:r>
      <w:r w:rsidR="00831276">
        <w:rPr>
          <w:rFonts w:hint="cs"/>
          <w:rtl/>
        </w:rPr>
        <w:t>עלויות נוספות על הציבור</w:t>
      </w:r>
      <w:r w:rsidR="000000A1">
        <w:rPr>
          <w:rFonts w:hint="cs"/>
          <w:rtl/>
        </w:rPr>
        <w:t>,</w:t>
      </w:r>
      <w:r w:rsidR="00831276">
        <w:rPr>
          <w:rFonts w:hint="cs"/>
          <w:rtl/>
        </w:rPr>
        <w:t xml:space="preserve"> </w:t>
      </w:r>
      <w:r w:rsidR="000000A1">
        <w:rPr>
          <w:rFonts w:hint="cs"/>
          <w:rtl/>
        </w:rPr>
        <w:t xml:space="preserve">מגדילה </w:t>
      </w:r>
      <w:r w:rsidR="00831276">
        <w:rPr>
          <w:rFonts w:hint="cs"/>
          <w:rtl/>
        </w:rPr>
        <w:t>את הפערים בין אלו שיכולים לשאת בהוצאות הנוספות לאלו שידם אינה משגת. חיזוק לטענה בדבר חוסר התקצוב ש</w:t>
      </w:r>
      <w:r w:rsidR="00F15ADC">
        <w:rPr>
          <w:rFonts w:hint="cs"/>
          <w:rtl/>
        </w:rPr>
        <w:t>ל מערכת הבריאות במדינה מגיע מדו</w:t>
      </w:r>
      <w:r w:rsidR="00831276">
        <w:rPr>
          <w:rFonts w:hint="cs"/>
          <w:rtl/>
        </w:rPr>
        <w:t>ח ה-</w:t>
      </w:r>
      <w:r w:rsidR="00831276">
        <w:rPr>
          <w:rFonts w:hint="cs"/>
        </w:rPr>
        <w:t>OECD</w:t>
      </w:r>
      <w:r w:rsidR="00831276">
        <w:rPr>
          <w:rFonts w:hint="cs"/>
          <w:rtl/>
        </w:rPr>
        <w:t xml:space="preserve"> בתחום הבריאות משנת 2018, ולפיו ההוצאה הציבורית על בריאות במדינת ישראל היא מהנמוכות במדינות </w:t>
      </w:r>
      <w:r w:rsidR="00E5565F">
        <w:rPr>
          <w:rFonts w:hint="cs"/>
        </w:rPr>
        <w:t>OECD</w:t>
      </w:r>
      <w:r w:rsidR="00831276">
        <w:rPr>
          <w:rFonts w:hint="cs"/>
          <w:rtl/>
        </w:rPr>
        <w:t>, ומספר הרופאים והאחיות לנפש בישראל</w:t>
      </w:r>
      <w:r w:rsidR="00E5565F">
        <w:rPr>
          <w:rFonts w:hint="cs"/>
          <w:rtl/>
        </w:rPr>
        <w:t>,</w:t>
      </w:r>
      <w:r w:rsidR="00831276">
        <w:rPr>
          <w:rFonts w:hint="cs"/>
          <w:rtl/>
        </w:rPr>
        <w:t xml:space="preserve"> </w:t>
      </w:r>
      <w:r w:rsidR="00E5565F">
        <w:rPr>
          <w:rFonts w:hint="cs"/>
          <w:rtl/>
        </w:rPr>
        <w:t xml:space="preserve">נמוך </w:t>
      </w:r>
      <w:r w:rsidR="00831276">
        <w:rPr>
          <w:rFonts w:hint="cs"/>
          <w:rtl/>
        </w:rPr>
        <w:t>מהממוצע.</w:t>
      </w:r>
    </w:p>
    <w:p w14:paraId="754FDDC8" w14:textId="23E88CF0" w:rsidR="00831276" w:rsidRDefault="00831276" w:rsidP="00E5565F">
      <w:pPr>
        <w:pStyle w:val="Hesber"/>
        <w:rPr>
          <w:rtl/>
        </w:rPr>
      </w:pPr>
      <w:r>
        <w:rPr>
          <w:rFonts w:hint="cs"/>
          <w:rtl/>
        </w:rPr>
        <w:t xml:space="preserve">לפיכך, מוצע לעדכן את תקצוב סל הבריאות מדי שנה באופן </w:t>
      </w:r>
      <w:r w:rsidR="00E5565F">
        <w:rPr>
          <w:rFonts w:hint="cs"/>
          <w:rtl/>
        </w:rPr>
        <w:t>בשל</w:t>
      </w:r>
      <w:r>
        <w:rPr>
          <w:rFonts w:hint="cs"/>
          <w:rtl/>
        </w:rPr>
        <w:t xml:space="preserve"> השינויים הדמוגרפיים, ובכללם הזדקנות האוכלוסייה, בהתאם לנתונים שמפרסמת הלשכה המרכזית לסטטיסטיקה.</w:t>
      </w:r>
      <w:r w:rsidRPr="002C28FA">
        <w:rPr>
          <w:rFonts w:hint="cs"/>
          <w:rtl/>
        </w:rPr>
        <w:t xml:space="preserve"> </w:t>
      </w:r>
    </w:p>
    <w:p w14:paraId="65C7A6A4" w14:textId="53B3B8BF" w:rsidR="00F15ADC" w:rsidRDefault="00F15ADC" w:rsidP="00E5565F">
      <w:pPr>
        <w:pStyle w:val="Hesber"/>
        <w:rPr>
          <w:rtl/>
        </w:rPr>
      </w:pPr>
    </w:p>
    <w:p w14:paraId="5B4A7D3F" w14:textId="77777777" w:rsidR="00F15ADC" w:rsidRDefault="00F15ADC" w:rsidP="00E5565F">
      <w:pPr>
        <w:pStyle w:val="Hesber"/>
        <w:rPr>
          <w:rtl/>
        </w:rPr>
      </w:pPr>
    </w:p>
    <w:p w14:paraId="10980A80" w14:textId="77777777" w:rsidR="00F15ADC" w:rsidRPr="00D73212" w:rsidRDefault="00F15ADC" w:rsidP="00F15ADC">
      <w:pPr>
        <w:pStyle w:val="Hesber"/>
        <w:rPr>
          <w:rtl/>
        </w:rPr>
      </w:pPr>
      <w:r w:rsidRPr="00D73212">
        <w:rPr>
          <w:rtl/>
        </w:rPr>
        <w:t>---------------------------------</w:t>
      </w:r>
    </w:p>
    <w:p w14:paraId="33D79B48" w14:textId="77777777" w:rsidR="00F15ADC" w:rsidRPr="00D73212" w:rsidRDefault="00F15ADC" w:rsidP="00F15ADC">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716CD745" w14:textId="77777777" w:rsidR="00F15ADC" w:rsidRPr="00D73212" w:rsidRDefault="00F15ADC" w:rsidP="00F15ADC">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43B23D46" w14:textId="778B6228" w:rsidR="00F15ADC" w:rsidRDefault="00F15ADC" w:rsidP="00F15ADC">
      <w:pPr>
        <w:pStyle w:val="Hesber"/>
        <w:rPr>
          <w:rtl/>
        </w:rPr>
      </w:pPr>
      <w:r>
        <w:rPr>
          <w:rFonts w:hint="cs"/>
          <w:rtl/>
        </w:rPr>
        <w:t>ט"ז בטבת</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24.12.18</w:t>
      </w:r>
      <w:bookmarkStart w:id="8" w:name="_GoBack"/>
      <w:bookmarkEnd w:id="8"/>
    </w:p>
    <w:p w14:paraId="13FC3294" w14:textId="77777777" w:rsidR="00831276" w:rsidRPr="007A559E" w:rsidRDefault="00831276" w:rsidP="00831276">
      <w:pPr>
        <w:pStyle w:val="Hesber"/>
        <w:rPr>
          <w:rtl/>
        </w:rPr>
      </w:pPr>
    </w:p>
    <w:p w14:paraId="7F6961CB" w14:textId="77777777" w:rsidR="00E13C27" w:rsidRDefault="00E13C27" w:rsidP="00E13C27">
      <w:pPr>
        <w:pStyle w:val="Hesber"/>
        <w:rPr>
          <w:rtl/>
        </w:rPr>
      </w:pPr>
    </w:p>
    <w:sectPr w:rsidR="00E13C27" w:rsidSect="000000A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15AD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0000A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D15C57D" w14:textId="77777777" w:rsidR="00831276" w:rsidRDefault="00831276" w:rsidP="00831276">
      <w:pPr>
        <w:pStyle w:val="a4"/>
        <w:rPr>
          <w:rtl/>
        </w:rPr>
      </w:pPr>
      <w:r>
        <w:rPr>
          <w:rStyle w:val="a6"/>
        </w:rPr>
        <w:footnoteRef/>
      </w:r>
      <w:r>
        <w:rPr>
          <w:rtl/>
        </w:rPr>
        <w:t xml:space="preserve"> </w:t>
      </w:r>
      <w:r>
        <w:rPr>
          <w:rFonts w:hint="cs"/>
          <w:rtl/>
        </w:rPr>
        <w:t xml:space="preserve">ס''ח התשנ''ד, עמ' 156.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00A1"/>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6648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16988"/>
    <w:rsid w:val="00831276"/>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65F"/>
    <w:rsid w:val="00E55A60"/>
    <w:rsid w:val="00E62778"/>
    <w:rsid w:val="00E635A2"/>
    <w:rsid w:val="00E63D38"/>
    <w:rsid w:val="00E65BBD"/>
    <w:rsid w:val="00E665B9"/>
    <w:rsid w:val="00EA01E6"/>
    <w:rsid w:val="00EA3DE8"/>
    <w:rsid w:val="00EA758F"/>
    <w:rsid w:val="00ED4A6F"/>
    <w:rsid w:val="00EF3A3A"/>
    <w:rsid w:val="00F15ADC"/>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699DED6-3713-4AC4-B85F-29A7184C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BBD"/>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65BB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65BB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65BB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65BBD"/>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65BBD"/>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65BB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65BBD"/>
    <w:rPr>
      <w:sz w:val="36"/>
      <w:szCs w:val="52"/>
    </w:rPr>
  </w:style>
  <w:style w:type="paragraph" w:customStyle="1" w:styleId="Cover3-Haknesset">
    <w:name w:val="Cover 3-Haknesset"/>
    <w:basedOn w:val="Cover1-Reshumot"/>
    <w:rsid w:val="00E65BBD"/>
    <w:rPr>
      <w:b/>
      <w:bCs/>
      <w:spacing w:val="60"/>
    </w:rPr>
  </w:style>
  <w:style w:type="paragraph" w:customStyle="1" w:styleId="Cover4-Date">
    <w:name w:val="Cover 4-Date"/>
    <w:basedOn w:val="a"/>
    <w:rsid w:val="00E65BB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65BB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65BBD"/>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65BBD"/>
    <w:pPr>
      <w:spacing w:before="120" w:after="120"/>
    </w:pPr>
    <w:rPr>
      <w:color w:val="FF0000"/>
      <w:w w:val="80"/>
    </w:rPr>
  </w:style>
  <w:style w:type="paragraph" w:styleId="a3">
    <w:name w:val="endnote text"/>
    <w:basedOn w:val="a"/>
    <w:semiHidden/>
    <w:rsid w:val="00E65BBD"/>
    <w:pPr>
      <w:ind w:left="227" w:hanging="227"/>
    </w:pPr>
    <w:rPr>
      <w:sz w:val="14"/>
      <w:szCs w:val="22"/>
    </w:rPr>
  </w:style>
  <w:style w:type="paragraph" w:customStyle="1" w:styleId="TableText">
    <w:name w:val="Table Text"/>
    <w:basedOn w:val="a"/>
    <w:rsid w:val="00E65BB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65BBD"/>
    <w:pPr>
      <w:outlineLvl w:val="2"/>
    </w:pPr>
  </w:style>
  <w:style w:type="paragraph" w:customStyle="1" w:styleId="TableBlock">
    <w:name w:val="Table Block"/>
    <w:basedOn w:val="TableText"/>
    <w:rsid w:val="00E65BBD"/>
    <w:pPr>
      <w:jc w:val="both"/>
    </w:pPr>
  </w:style>
  <w:style w:type="paragraph" w:customStyle="1" w:styleId="TableHead">
    <w:name w:val="Table Head"/>
    <w:basedOn w:val="TableText"/>
    <w:rsid w:val="00E65BBD"/>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65BBD"/>
    <w:pPr>
      <w:outlineLvl w:val="9"/>
    </w:pPr>
  </w:style>
  <w:style w:type="paragraph" w:customStyle="1" w:styleId="Hesber">
    <w:name w:val="Hesber"/>
    <w:basedOn w:val="a"/>
    <w:rsid w:val="00E65BBD"/>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E65BBD"/>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E65BBD"/>
    <w:rPr>
      <w:vertAlign w:val="superscript"/>
    </w:rPr>
  </w:style>
  <w:style w:type="paragraph" w:customStyle="1" w:styleId="HesberHeading">
    <w:name w:val="Hesber Heading"/>
    <w:basedOn w:val="Hesber"/>
    <w:rsid w:val="00E65BBD"/>
    <w:pPr>
      <w:tabs>
        <w:tab w:val="left" w:pos="624"/>
        <w:tab w:val="left" w:pos="1247"/>
      </w:tabs>
    </w:pPr>
    <w:rPr>
      <w:b/>
      <w:bCs/>
    </w:rPr>
  </w:style>
  <w:style w:type="paragraph" w:customStyle="1" w:styleId="HesberWriters">
    <w:name w:val="Hesber Writers"/>
    <w:basedOn w:val="Hesber"/>
    <w:rsid w:val="00E65BBD"/>
    <w:pPr>
      <w:spacing w:before="120" w:after="120"/>
      <w:ind w:left="1418"/>
      <w:jc w:val="right"/>
    </w:pPr>
    <w:rPr>
      <w:b/>
      <w:bCs/>
    </w:rPr>
  </w:style>
  <w:style w:type="paragraph" w:customStyle="1" w:styleId="Hesber1st">
    <w:name w:val="Hesber 1st"/>
    <w:basedOn w:val="Hesber"/>
    <w:rsid w:val="00E65BBD"/>
    <w:pPr>
      <w:tabs>
        <w:tab w:val="left" w:pos="680"/>
        <w:tab w:val="left" w:pos="1020"/>
      </w:tabs>
      <w:ind w:firstLine="0"/>
    </w:pPr>
  </w:style>
  <w:style w:type="character" w:styleId="a7">
    <w:name w:val="endnote reference"/>
    <w:basedOn w:val="a0"/>
    <w:semiHidden/>
    <w:rsid w:val="00E65BBD"/>
    <w:rPr>
      <w:vertAlign w:val="superscript"/>
    </w:rPr>
  </w:style>
  <w:style w:type="paragraph" w:customStyle="1" w:styleId="TableBlockOutdent">
    <w:name w:val="Table BlockOutdent"/>
    <w:basedOn w:val="TableBlock"/>
    <w:rsid w:val="00E65BBD"/>
    <w:pPr>
      <w:ind w:left="624" w:hanging="624"/>
    </w:pPr>
  </w:style>
  <w:style w:type="paragraph" w:styleId="a8">
    <w:name w:val="header"/>
    <w:basedOn w:val="a"/>
    <w:rsid w:val="00E65BBD"/>
    <w:pPr>
      <w:tabs>
        <w:tab w:val="center" w:pos="4153"/>
        <w:tab w:val="right" w:pos="8306"/>
      </w:tabs>
    </w:pPr>
  </w:style>
  <w:style w:type="paragraph" w:styleId="a9">
    <w:name w:val="footer"/>
    <w:basedOn w:val="a"/>
    <w:rsid w:val="00E65BBD"/>
    <w:pPr>
      <w:tabs>
        <w:tab w:val="center" w:pos="4153"/>
        <w:tab w:val="right" w:pos="8306"/>
      </w:tabs>
    </w:pPr>
  </w:style>
  <w:style w:type="paragraph" w:customStyle="1" w:styleId="HeadDivreiHesber">
    <w:name w:val="Head DivreiHesber"/>
    <w:basedOn w:val="a"/>
    <w:rsid w:val="00E65BBD"/>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65BBD"/>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65BBD"/>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locked/>
    <w:rsid w:val="00831276"/>
    <w:rPr>
      <w:rFonts w:ascii="Arial" w:eastAsia="Arial Unicode MS" w:hAnsi="Arial" w:cs="David"/>
      <w:snapToGrid w:val="0"/>
      <w:sz w:val="14"/>
    </w:rPr>
  </w:style>
  <w:style w:type="character" w:customStyle="1" w:styleId="10">
    <w:name w:val="כותרת 1 תו"/>
    <w:basedOn w:val="a0"/>
    <w:link w:val="1"/>
    <w:uiPriority w:val="9"/>
    <w:rsid w:val="00E65BBD"/>
    <w:rPr>
      <w:rFonts w:asciiTheme="majorHAnsi" w:eastAsiaTheme="majorEastAsia" w:hAnsiTheme="majorHAnsi" w:cs="David"/>
      <w:bCs/>
      <w:sz w:val="32"/>
      <w:szCs w:val="36"/>
    </w:rPr>
  </w:style>
  <w:style w:type="character" w:customStyle="1" w:styleId="20">
    <w:name w:val="כותרת 2 תו"/>
    <w:basedOn w:val="a0"/>
    <w:link w:val="2"/>
    <w:rsid w:val="00E65BBD"/>
    <w:rPr>
      <w:rFonts w:asciiTheme="majorHAnsi" w:eastAsiaTheme="majorEastAsia" w:hAnsiTheme="majorHAnsi" w:cs="David"/>
      <w:bCs/>
      <w:sz w:val="26"/>
      <w:szCs w:val="36"/>
      <w:u w:val="single"/>
    </w:rPr>
  </w:style>
  <w:style w:type="character" w:customStyle="1" w:styleId="30">
    <w:name w:val="כותרת 3 תו"/>
    <w:basedOn w:val="a0"/>
    <w:link w:val="3"/>
    <w:rsid w:val="00E65BBD"/>
    <w:rPr>
      <w:rFonts w:asciiTheme="majorHAnsi" w:eastAsiaTheme="majorEastAsia" w:hAnsiTheme="majorHAnsi" w:cs="David"/>
      <w:sz w:val="24"/>
      <w:szCs w:val="28"/>
      <w:u w:val="double"/>
    </w:rPr>
  </w:style>
  <w:style w:type="character" w:customStyle="1" w:styleId="40">
    <w:name w:val="כותרת 4 תו"/>
    <w:basedOn w:val="a0"/>
    <w:link w:val="4"/>
    <w:uiPriority w:val="9"/>
    <w:rsid w:val="00E65BBD"/>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65BBD"/>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E65BBD"/>
    <w:pPr>
      <w:widowControl/>
      <w:spacing w:before="120" w:after="120"/>
      <w:outlineLvl w:val="9"/>
    </w:pPr>
    <w:rPr>
      <w:rtl/>
      <w:cs/>
    </w:rPr>
  </w:style>
  <w:style w:type="paragraph" w:styleId="TOC1">
    <w:name w:val="toc 1"/>
    <w:basedOn w:val="a"/>
    <w:next w:val="a"/>
    <w:autoRedefine/>
    <w:uiPriority w:val="39"/>
    <w:unhideWhenUsed/>
    <w:rsid w:val="00E65BBD"/>
    <w:pPr>
      <w:tabs>
        <w:tab w:val="right" w:leader="dot" w:pos="9629"/>
      </w:tabs>
      <w:spacing w:after="100"/>
    </w:pPr>
    <w:rPr>
      <w:bCs/>
      <w:szCs w:val="22"/>
    </w:rPr>
  </w:style>
  <w:style w:type="paragraph" w:styleId="TOC2">
    <w:name w:val="toc 2"/>
    <w:basedOn w:val="a"/>
    <w:next w:val="a"/>
    <w:uiPriority w:val="39"/>
    <w:unhideWhenUsed/>
    <w:rsid w:val="00E65BBD"/>
    <w:pPr>
      <w:tabs>
        <w:tab w:val="right" w:leader="dot" w:pos="9628"/>
      </w:tabs>
      <w:spacing w:after="100"/>
    </w:pPr>
    <w:rPr>
      <w:szCs w:val="22"/>
    </w:rPr>
  </w:style>
  <w:style w:type="character" w:styleId="Hyperlink">
    <w:name w:val="Hyperlink"/>
    <w:basedOn w:val="a0"/>
    <w:uiPriority w:val="99"/>
    <w:unhideWhenUsed/>
    <w:rsid w:val="00E65BBD"/>
    <w:rPr>
      <w:color w:val="0000FF" w:themeColor="hyperlink"/>
      <w:u w:val="single"/>
    </w:rPr>
  </w:style>
  <w:style w:type="paragraph" w:styleId="TOC3">
    <w:name w:val="toc 3"/>
    <w:basedOn w:val="a"/>
    <w:next w:val="a"/>
    <w:uiPriority w:val="39"/>
    <w:unhideWhenUsed/>
    <w:rsid w:val="00E65BBD"/>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65BB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65BBD"/>
    <w:pPr>
      <w:tabs>
        <w:tab w:val="right" w:leader="dot" w:pos="9628"/>
      </w:tabs>
      <w:spacing w:after="100"/>
      <w:ind w:left="567"/>
    </w:pPr>
    <w:rPr>
      <w:szCs w:val="22"/>
    </w:rPr>
  </w:style>
  <w:style w:type="paragraph" w:styleId="TOC6">
    <w:name w:val="toc 6"/>
    <w:basedOn w:val="a"/>
    <w:next w:val="a"/>
    <w:autoRedefine/>
    <w:semiHidden/>
    <w:unhideWhenUsed/>
    <w:rsid w:val="00E65BBD"/>
    <w:pPr>
      <w:spacing w:after="100"/>
      <w:ind w:left="850"/>
    </w:pPr>
  </w:style>
  <w:style w:type="paragraph" w:styleId="TOC7">
    <w:name w:val="toc 7"/>
    <w:basedOn w:val="a"/>
    <w:next w:val="a"/>
    <w:autoRedefine/>
    <w:semiHidden/>
    <w:unhideWhenUsed/>
    <w:rsid w:val="00E65BBD"/>
    <w:pPr>
      <w:spacing w:after="100"/>
      <w:ind w:left="1020"/>
    </w:pPr>
  </w:style>
  <w:style w:type="paragraph" w:styleId="TOC8">
    <w:name w:val="toc 8"/>
    <w:basedOn w:val="a"/>
    <w:next w:val="a"/>
    <w:autoRedefine/>
    <w:semiHidden/>
    <w:unhideWhenUsed/>
    <w:rsid w:val="00E65BBD"/>
    <w:pPr>
      <w:spacing w:after="100"/>
      <w:ind w:left="1190"/>
    </w:pPr>
  </w:style>
  <w:style w:type="paragraph" w:styleId="TOC9">
    <w:name w:val="toc 9"/>
    <w:basedOn w:val="a"/>
    <w:next w:val="a"/>
    <w:autoRedefine/>
    <w:semiHidden/>
    <w:unhideWhenUsed/>
    <w:rsid w:val="00E65BBD"/>
    <w:pPr>
      <w:spacing w:after="100"/>
      <w:ind w:left="1360"/>
    </w:pPr>
  </w:style>
  <w:style w:type="paragraph" w:customStyle="1" w:styleId="TableHead2">
    <w:name w:val="Table Head2"/>
    <w:basedOn w:val="TableHead"/>
    <w:qFormat/>
    <w:rsid w:val="00E65BBD"/>
    <w:pPr>
      <w:outlineLvl w:val="9"/>
    </w:pPr>
  </w:style>
  <w:style w:type="paragraph" w:customStyle="1" w:styleId="TableSideHeading2">
    <w:name w:val="Table SideHeading2"/>
    <w:basedOn w:val="TableSideHeading"/>
    <w:autoRedefine/>
    <w:qFormat/>
    <w:rsid w:val="00E65BBD"/>
    <w:pPr>
      <w:keepLines w:val="0"/>
      <w:outlineLvl w:val="9"/>
    </w:pPr>
  </w:style>
  <w:style w:type="paragraph" w:customStyle="1" w:styleId="0">
    <w:name w:val="סגנון שורה ראשונה:  0  ס''מ"/>
    <w:basedOn w:val="2"/>
    <w:rsid w:val="00E65BBD"/>
    <w:rPr>
      <w:rFonts w:eastAsia="Times New Roman"/>
    </w:rPr>
  </w:style>
  <w:style w:type="paragraph" w:styleId="af">
    <w:name w:val="List Paragraph"/>
    <w:basedOn w:val="a"/>
    <w:uiPriority w:val="34"/>
    <w:qFormat/>
    <w:rsid w:val="00E65BBD"/>
    <w:pPr>
      <w:widowControl/>
      <w:spacing w:line="259" w:lineRule="auto"/>
    </w:pPr>
    <w:rPr>
      <w:rFonts w:asciiTheme="minorHAnsi" w:hAnsiTheme="minorHAnsi"/>
      <w:sz w:val="22"/>
    </w:rPr>
  </w:style>
  <w:style w:type="table" w:styleId="af0">
    <w:name w:val="Table Grid"/>
    <w:basedOn w:val="a1"/>
    <w:rsid w:val="00E6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65B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65B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E65BBD"/>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65BBD"/>
    <w:tblPr/>
    <w:tblStylePr w:type="firstCol">
      <w:pPr>
        <w:keepNext w:val="0"/>
        <w:keepLines/>
        <w:pageBreakBefore w:val="0"/>
        <w:widowControl w:val="0"/>
        <w:suppressLineNumbers w:val="0"/>
        <w:suppressAutoHyphens w:val="0"/>
        <w:wordWrap/>
      </w:pPr>
    </w:tblStylePr>
  </w:style>
  <w:style w:type="paragraph" w:styleId="af2">
    <w:name w:val="Revision"/>
    <w:hidden/>
    <w:uiPriority w:val="99"/>
    <w:semiHidden/>
    <w:rsid w:val="0016648B"/>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2EBD-2EC6-483A-BAC7-5EEDC41DF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7A206EF-6D36-42F6-AD4E-8EE8584D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374</Words>
  <Characters>2137</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8</cp:revision>
  <cp:lastPrinted>2018-12-19T11:42:00Z</cp:lastPrinted>
  <dcterms:created xsi:type="dcterms:W3CDTF">2015-04-20T09:58:00Z</dcterms:created>
  <dcterms:modified xsi:type="dcterms:W3CDTF">2018-12-19T11:42:00Z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2077321</vt:r8>
  </property>
</Properties>
</file>