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2076729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סופה לנדבר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אביגדור ליברמן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עודד פורר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חמד עמאר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רוברט </w:t>
      </w:r>
      <w:proofErr w:type="spellStart"/>
      <w:r>
        <w:rPr>
          <w:rFonts w:hint="cs"/>
          <w:b/>
          <w:bCs/>
          <w:rtl/>
        </w:rPr>
        <w:t>אילטוב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יואל </w:t>
      </w:r>
      <w:proofErr w:type="spellStart"/>
      <w:r>
        <w:rPr>
          <w:rFonts w:hint="cs"/>
          <w:b/>
          <w:bCs/>
          <w:rtl/>
        </w:rPr>
        <w:t>רזבוזוב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איציק שמולי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פ/5939/20</w:t>
      </w:r>
      <w:bookmarkEnd w:id="6"/>
    </w:p>
    <w:p w14:paraId="7F6961AD" w14:textId="57C80EF7" w:rsidR="00E13C27" w:rsidRPr="00F67051" w:rsidRDefault="00A443CF" w:rsidP="00031ACE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הבטחת הכנסה (תיקון – גמלת הבטחת הכנסה לקשיש), </w:t>
      </w:r>
      <w:proofErr w:type="spellStart"/>
      <w:r>
        <w:rPr>
          <w:rFonts w:hint="cs"/>
          <w:rtl/>
        </w:rPr>
        <w:t>התשע"ט</w:t>
      </w:r>
      <w:proofErr w:type="spellEnd"/>
      <w:r>
        <w:rPr>
          <w:rFonts w:hint="cs"/>
          <w:rtl/>
        </w:rPr>
        <w:t>–2018</w:t>
      </w:r>
      <w:bookmarkEnd w:id="7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522"/>
      </w:tblGrid>
      <w:tr w:rsidR="002F1D80" w14:paraId="035EEF3D" w14:textId="77777777" w:rsidTr="002C3041">
        <w:trPr>
          <w:cantSplit/>
          <w:trHeight w:val="60"/>
        </w:trPr>
        <w:tc>
          <w:tcPr>
            <w:tcW w:w="1871" w:type="dxa"/>
          </w:tcPr>
          <w:p w14:paraId="3863FF98" w14:textId="3AE4E767" w:rsidR="002F1D80" w:rsidRDefault="002E61BD" w:rsidP="002C3041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5</w:t>
            </w:r>
          </w:p>
        </w:tc>
        <w:tc>
          <w:tcPr>
            <w:tcW w:w="624" w:type="dxa"/>
          </w:tcPr>
          <w:p w14:paraId="6F513EF6" w14:textId="060CA0DB" w:rsidR="002F1D80" w:rsidRDefault="002E61BD" w:rsidP="002C3041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  <w:gridSpan w:val="2"/>
          </w:tcPr>
          <w:p w14:paraId="1AE94DEB" w14:textId="11696B70" w:rsidR="002F1D80" w:rsidRPr="00001BAA" w:rsidRDefault="002E61BD" w:rsidP="00A5547D">
            <w:pPr>
              <w:pStyle w:val="TableBlock"/>
            </w:pPr>
            <w:r w:rsidRPr="00001BAA">
              <w:rPr>
                <w:rFonts w:hint="cs"/>
                <w:rtl/>
              </w:rPr>
              <w:t xml:space="preserve">בחוק הבטחת הכנסה, </w:t>
            </w:r>
            <w:proofErr w:type="spellStart"/>
            <w:r w:rsidRPr="00001BAA">
              <w:rPr>
                <w:rFonts w:hint="cs"/>
                <w:rtl/>
              </w:rPr>
              <w:t>התשמ"א</w:t>
            </w:r>
            <w:proofErr w:type="spellEnd"/>
            <w:r w:rsidR="00031ACE">
              <w:rPr>
                <w:rFonts w:hint="eastAsia"/>
                <w:rtl/>
              </w:rPr>
              <w:t>–</w:t>
            </w:r>
            <w:r w:rsidRPr="00001BAA">
              <w:rPr>
                <w:rFonts w:hint="cs"/>
                <w:rtl/>
              </w:rPr>
              <w:t>1980</w:t>
            </w:r>
            <w:r w:rsidR="00001BAA">
              <w:rPr>
                <w:rStyle w:val="a5"/>
                <w:rtl/>
              </w:rPr>
              <w:footnoteReference w:id="2"/>
            </w:r>
            <w:r w:rsidRPr="00001BAA">
              <w:rPr>
                <w:rFonts w:hint="cs"/>
                <w:rtl/>
              </w:rPr>
              <w:t xml:space="preserve">, בסעיף 5, </w:t>
            </w:r>
            <w:r w:rsidR="00A5547D">
              <w:rPr>
                <w:rFonts w:hint="cs"/>
                <w:rtl/>
              </w:rPr>
              <w:t>אחרי סעיף קטן (ו)</w:t>
            </w:r>
            <w:r w:rsidRPr="00001BAA">
              <w:rPr>
                <w:rFonts w:hint="cs"/>
                <w:rtl/>
              </w:rPr>
              <w:t xml:space="preserve"> יבוא:</w:t>
            </w:r>
          </w:p>
        </w:tc>
      </w:tr>
      <w:tr w:rsidR="00A5547D" w14:paraId="08AA8E98" w14:textId="77777777">
        <w:trPr>
          <w:cantSplit/>
          <w:trHeight w:val="60"/>
        </w:trPr>
        <w:tc>
          <w:tcPr>
            <w:tcW w:w="1871" w:type="dxa"/>
          </w:tcPr>
          <w:p w14:paraId="284414CC" w14:textId="77777777" w:rsidR="00A5547D" w:rsidRDefault="00A5547D">
            <w:pPr>
              <w:pStyle w:val="TableSideHeading"/>
            </w:pPr>
          </w:p>
        </w:tc>
        <w:tc>
          <w:tcPr>
            <w:tcW w:w="624" w:type="dxa"/>
          </w:tcPr>
          <w:p w14:paraId="56DE90A1" w14:textId="77777777" w:rsidR="00A5547D" w:rsidRDefault="00A5547D">
            <w:pPr>
              <w:pStyle w:val="TableText"/>
            </w:pPr>
          </w:p>
        </w:tc>
        <w:tc>
          <w:tcPr>
            <w:tcW w:w="624" w:type="dxa"/>
          </w:tcPr>
          <w:p w14:paraId="335F4502" w14:textId="51E8B67A" w:rsidR="00A5547D" w:rsidRDefault="00A5547D">
            <w:pPr>
              <w:pStyle w:val="TableText"/>
            </w:pPr>
            <w:r>
              <w:rPr>
                <w:rFonts w:hint="cs"/>
                <w:rtl/>
              </w:rPr>
              <w:t xml:space="preserve">"(ז)  </w:t>
            </w:r>
          </w:p>
        </w:tc>
        <w:tc>
          <w:tcPr>
            <w:tcW w:w="6522" w:type="dxa"/>
          </w:tcPr>
          <w:p w14:paraId="68E7335E" w14:textId="575968CE" w:rsidR="00A5547D" w:rsidRDefault="00A5547D" w:rsidP="00FD7A94">
            <w:pPr>
              <w:pStyle w:val="TableBlock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על אף האמור בסעיף קטן (א), הגמלה לזכאי שאין לו הכנסה, שהגיע לגיל הפרישה, ועבד 35 שנים, בישראל או מחוץ לישראל, לא תפחת מ- 85% משכר המינימום כמשמעותו בחוק שכר מינימום, ולגבי שני בני זוג הזכאים לגמלה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לא תפחת מ-105% משכר המינימום.</w:t>
            </w:r>
          </w:p>
        </w:tc>
      </w:tr>
      <w:tr w:rsidR="00A5547D" w14:paraId="6F143FF6" w14:textId="77777777">
        <w:trPr>
          <w:cantSplit/>
          <w:trHeight w:val="60"/>
        </w:trPr>
        <w:tc>
          <w:tcPr>
            <w:tcW w:w="1871" w:type="dxa"/>
          </w:tcPr>
          <w:p w14:paraId="45583CC2" w14:textId="77777777" w:rsidR="00A5547D" w:rsidRDefault="00A5547D">
            <w:pPr>
              <w:pStyle w:val="TableSideHeading"/>
            </w:pPr>
          </w:p>
        </w:tc>
        <w:tc>
          <w:tcPr>
            <w:tcW w:w="624" w:type="dxa"/>
          </w:tcPr>
          <w:p w14:paraId="651FA79B" w14:textId="77777777" w:rsidR="00A5547D" w:rsidRDefault="00A5547D" w:rsidP="00A5547D">
            <w:pPr>
              <w:pStyle w:val="TableText"/>
            </w:pPr>
          </w:p>
        </w:tc>
        <w:tc>
          <w:tcPr>
            <w:tcW w:w="624" w:type="dxa"/>
          </w:tcPr>
          <w:p w14:paraId="0A6DC9F1" w14:textId="77777777" w:rsidR="00A5547D" w:rsidRDefault="00A5547D">
            <w:pPr>
              <w:pStyle w:val="TableText"/>
            </w:pPr>
          </w:p>
        </w:tc>
        <w:tc>
          <w:tcPr>
            <w:tcW w:w="6522" w:type="dxa"/>
          </w:tcPr>
          <w:p w14:paraId="30E8D3DB" w14:textId="12A320F5" w:rsidR="00A5547D" w:rsidRDefault="00A5547D">
            <w:pPr>
              <w:pStyle w:val="TableBlock"/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שר העבודה, הרווחה והשירותים החברתיים יקבע כללים ותנאים לזכאות לפי סעיף קטן זה."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7F6961CB" w14:textId="20A8831D" w:rsidR="00E13C27" w:rsidRDefault="000C0AB8" w:rsidP="00084790">
      <w:pPr>
        <w:pStyle w:val="Hesber"/>
        <w:spacing w:line="240" w:lineRule="auto"/>
        <w:rPr>
          <w:rtl/>
        </w:rPr>
      </w:pPr>
      <w:r>
        <w:rPr>
          <w:rFonts w:hint="cs"/>
          <w:rtl/>
        </w:rPr>
        <w:t>מטרת הצעת חוק זו לקבוע את שיעור גמלת הבטחת הכנסה לקשישים במדינת ישראל.</w:t>
      </w:r>
    </w:p>
    <w:p w14:paraId="0C5EE481" w14:textId="00129386" w:rsidR="000C0AB8" w:rsidRDefault="000C0AB8" w:rsidP="00084790">
      <w:pPr>
        <w:pStyle w:val="Hesber"/>
        <w:spacing w:line="240" w:lineRule="auto"/>
        <w:rPr>
          <w:rtl/>
        </w:rPr>
      </w:pPr>
      <w:r>
        <w:rPr>
          <w:rFonts w:hint="cs"/>
          <w:rtl/>
        </w:rPr>
        <w:t>ההיגיון המנחה מערכות שלטוניות בתשלום גמלאות שיאפשרו רמת חיים סבירה לגמלאים מבוסס על קווי היסוד של מדינת הרווחה, שתפקידה לאפשר קיום בכבוד לכל אזרחיה.</w:t>
      </w:r>
      <w:r w:rsidR="00677AA2">
        <w:rPr>
          <w:rFonts w:hint="cs"/>
          <w:rtl/>
        </w:rPr>
        <w:t xml:space="preserve"> ב-</w:t>
      </w:r>
      <w:r>
        <w:rPr>
          <w:rFonts w:hint="cs"/>
          <w:rtl/>
        </w:rPr>
        <w:t xml:space="preserve">25 השנים האחרונות חלו שינויים דרמטיים במדינת ישראל, </w:t>
      </w:r>
      <w:r w:rsidR="00FD7A94">
        <w:rPr>
          <w:rFonts w:hint="cs"/>
          <w:rtl/>
        </w:rPr>
        <w:t>ו</w:t>
      </w:r>
      <w:r>
        <w:rPr>
          <w:rFonts w:hint="cs"/>
          <w:rtl/>
        </w:rPr>
        <w:t>בין השאר</w:t>
      </w:r>
      <w:r w:rsidR="00FD7A94">
        <w:rPr>
          <w:rFonts w:hint="cs"/>
          <w:rtl/>
        </w:rPr>
        <w:t>,</w:t>
      </w:r>
      <w:r>
        <w:rPr>
          <w:rFonts w:hint="cs"/>
          <w:rtl/>
        </w:rPr>
        <w:t xml:space="preserve"> שינויים דמוגרפיים בשל עליית למעלה ממיליו</w:t>
      </w:r>
      <w:r>
        <w:rPr>
          <w:rFonts w:hint="eastAsia"/>
          <w:rtl/>
        </w:rPr>
        <w:t>ן</w:t>
      </w:r>
      <w:r>
        <w:rPr>
          <w:rFonts w:hint="cs"/>
          <w:rtl/>
        </w:rPr>
        <w:t xml:space="preserve"> עולים חדשים במצב סוציו-אקונומי נמוך, חלקם בגילאים מתקדמים או לקראת גיל הפרישה.</w:t>
      </w:r>
      <w:r w:rsidR="00001BAA">
        <w:rPr>
          <w:rFonts w:hint="cs"/>
          <w:rtl/>
        </w:rPr>
        <w:t xml:space="preserve"> </w:t>
      </w:r>
      <w:r>
        <w:rPr>
          <w:rFonts w:hint="cs"/>
          <w:rtl/>
        </w:rPr>
        <w:t>הוותק התעסוקתי של חלקם לא מאפשר להם לחסוך מספיק כדי שבגיל הפרישה יהיו זכאים לפנסיה מכובדת.</w:t>
      </w:r>
    </w:p>
    <w:p w14:paraId="1B62423F" w14:textId="6846E93C" w:rsidR="000C0AB8" w:rsidRDefault="000C0AB8" w:rsidP="00084790">
      <w:pPr>
        <w:pStyle w:val="Hesber"/>
        <w:spacing w:line="240" w:lineRule="auto"/>
        <w:rPr>
          <w:rtl/>
        </w:rPr>
      </w:pPr>
      <w:r>
        <w:rPr>
          <w:rFonts w:hint="cs"/>
          <w:rtl/>
        </w:rPr>
        <w:t xml:space="preserve">הצעת חוק זו </w:t>
      </w:r>
      <w:r w:rsidR="00FD7A94">
        <w:rPr>
          <w:rFonts w:hint="cs"/>
          <w:rtl/>
        </w:rPr>
        <w:t>נועדה לאפשר</w:t>
      </w:r>
      <w:r>
        <w:rPr>
          <w:rFonts w:hint="cs"/>
          <w:rtl/>
        </w:rPr>
        <w:t xml:space="preserve"> לכל עובד </w:t>
      </w:r>
      <w:r w:rsidR="00FD7A94">
        <w:rPr>
          <w:rFonts w:hint="cs"/>
          <w:rtl/>
        </w:rPr>
        <w:t>ש</w:t>
      </w:r>
      <w:r>
        <w:rPr>
          <w:rFonts w:hint="cs"/>
          <w:rtl/>
        </w:rPr>
        <w:t>יצא לפנסיה להשתכר בכבוד לאחר גיל הפרישה על ידי העלאת שיעור גמלת הבטחת הכנסה לקשיש.</w:t>
      </w:r>
    </w:p>
    <w:p w14:paraId="7D432C0B" w14:textId="5B6B2059" w:rsidR="00001BAA" w:rsidRDefault="00001BAA" w:rsidP="00084790">
      <w:pPr>
        <w:pStyle w:val="Hesber"/>
        <w:spacing w:line="240" w:lineRule="auto"/>
        <w:rPr>
          <w:rtl/>
        </w:rPr>
      </w:pPr>
      <w:r w:rsidRPr="00E16D44">
        <w:rPr>
          <w:rFonts w:hint="cs"/>
          <w:rtl/>
        </w:rPr>
        <w:lastRenderedPageBreak/>
        <w:t>הצע</w:t>
      </w:r>
      <w:r w:rsidR="00FD7A94">
        <w:rPr>
          <w:rFonts w:hint="cs"/>
          <w:rtl/>
        </w:rPr>
        <w:t>ו</w:t>
      </w:r>
      <w:r w:rsidRPr="00E16D44">
        <w:rPr>
          <w:rFonts w:hint="cs"/>
          <w:rtl/>
        </w:rPr>
        <w:t>ת חוק זה</w:t>
      </w:r>
      <w:r w:rsidR="00FD7A94">
        <w:rPr>
          <w:rFonts w:hint="cs"/>
          <w:rtl/>
        </w:rPr>
        <w:t>ות</w:t>
      </w:r>
      <w:r w:rsidRPr="00E16D44">
        <w:rPr>
          <w:rFonts w:hint="cs"/>
          <w:rtl/>
        </w:rPr>
        <w:t xml:space="preserve"> הונח</w:t>
      </w:r>
      <w:r w:rsidR="00FD7A94">
        <w:rPr>
          <w:rFonts w:hint="cs"/>
          <w:rtl/>
        </w:rPr>
        <w:t>ו</w:t>
      </w:r>
      <w:r w:rsidRPr="00E16D44">
        <w:rPr>
          <w:rFonts w:hint="cs"/>
          <w:rtl/>
        </w:rPr>
        <w:t xml:space="preserve"> על שולחן הכנסת </w:t>
      </w:r>
      <w:r>
        <w:rPr>
          <w:rFonts w:hint="cs"/>
          <w:rtl/>
        </w:rPr>
        <w:t xml:space="preserve">העשרים </w:t>
      </w:r>
      <w:r w:rsidRPr="00E16D44">
        <w:rPr>
          <w:rFonts w:hint="cs"/>
          <w:rtl/>
        </w:rPr>
        <w:t>על ידי חברת הכנסת סופה לנדבר וקבוצת חברי הכנסת (פ/2236/20</w:t>
      </w:r>
      <w:r>
        <w:rPr>
          <w:rFonts w:hint="cs"/>
          <w:rtl/>
        </w:rPr>
        <w:t xml:space="preserve">; </w:t>
      </w:r>
      <w:r w:rsidRPr="00E16D44">
        <w:rPr>
          <w:rFonts w:hint="cs"/>
          <w:rtl/>
        </w:rPr>
        <w:t xml:space="preserve">הוסרה מסדר היום ביום א' באדר א' </w:t>
      </w:r>
      <w:proofErr w:type="spellStart"/>
      <w:r w:rsidRPr="00E16D44">
        <w:rPr>
          <w:rFonts w:hint="cs"/>
          <w:rtl/>
        </w:rPr>
        <w:t>התשע"ו</w:t>
      </w:r>
      <w:proofErr w:type="spellEnd"/>
      <w:r w:rsidRPr="00E16D44">
        <w:rPr>
          <w:rFonts w:hint="cs"/>
          <w:rtl/>
        </w:rPr>
        <w:t xml:space="preserve"> (10 בפברואר 2016)</w:t>
      </w:r>
      <w:r>
        <w:rPr>
          <w:rFonts w:hint="cs"/>
          <w:rtl/>
        </w:rPr>
        <w:t>; פ/2774</w:t>
      </w:r>
      <w:r w:rsidR="00FD7A94">
        <w:rPr>
          <w:rFonts w:hint="cs"/>
          <w:rtl/>
        </w:rPr>
        <w:t>/20</w:t>
      </w:r>
      <w:r>
        <w:rPr>
          <w:rFonts w:hint="cs"/>
          <w:rtl/>
        </w:rPr>
        <w:t xml:space="preserve">) </w:t>
      </w:r>
      <w:r w:rsidR="00FD7A94">
        <w:rPr>
          <w:rFonts w:hint="cs"/>
          <w:rtl/>
        </w:rPr>
        <w:t>ו</w:t>
      </w:r>
      <w:r>
        <w:rPr>
          <w:rFonts w:hint="cs"/>
          <w:rtl/>
        </w:rPr>
        <w:t xml:space="preserve">על ידי חבר הכנסת דב </w:t>
      </w:r>
      <w:proofErr w:type="spellStart"/>
      <w:r>
        <w:rPr>
          <w:rFonts w:hint="cs"/>
          <w:rtl/>
        </w:rPr>
        <w:t>חנין</w:t>
      </w:r>
      <w:proofErr w:type="spellEnd"/>
      <w:r>
        <w:rPr>
          <w:rFonts w:hint="cs"/>
          <w:rtl/>
        </w:rPr>
        <w:t xml:space="preserve"> וקבוצת חברי הכנסת (פ/2679</w:t>
      </w:r>
      <w:r w:rsidR="00FD7A94">
        <w:rPr>
          <w:rFonts w:hint="cs"/>
          <w:rtl/>
        </w:rPr>
        <w:t>/20</w:t>
      </w:r>
      <w:r>
        <w:rPr>
          <w:rFonts w:hint="cs"/>
          <w:rtl/>
        </w:rPr>
        <w:t>)</w:t>
      </w:r>
      <w:r w:rsidRPr="00E16D44">
        <w:rPr>
          <w:rFonts w:hint="cs"/>
          <w:rtl/>
        </w:rPr>
        <w:t>.</w:t>
      </w:r>
      <w:bookmarkStart w:id="8" w:name="_GoBack"/>
      <w:bookmarkEnd w:id="8"/>
    </w:p>
    <w:p w14:paraId="52C5AB6D" w14:textId="77777777" w:rsidR="00FE0081" w:rsidRPr="00D73212" w:rsidRDefault="00FE0081" w:rsidP="00084790">
      <w:pPr>
        <w:pStyle w:val="Hesber"/>
        <w:spacing w:line="240" w:lineRule="auto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044E5A21" w14:textId="77777777" w:rsidR="00FE0081" w:rsidRPr="00D73212" w:rsidRDefault="00FE0081" w:rsidP="00084790">
      <w:pPr>
        <w:pStyle w:val="Hesber"/>
        <w:spacing w:line="240" w:lineRule="auto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4CE45C2F" w14:textId="77777777" w:rsidR="00FE0081" w:rsidRPr="00D73212" w:rsidRDefault="00FE0081" w:rsidP="00084790">
      <w:pPr>
        <w:pStyle w:val="Hesber"/>
        <w:spacing w:line="240" w:lineRule="auto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107540C9" w14:textId="78A90F07" w:rsidR="00001BAA" w:rsidRDefault="00FE0081" w:rsidP="00084790">
      <w:pPr>
        <w:pStyle w:val="Hesber"/>
        <w:spacing w:line="240" w:lineRule="auto"/>
        <w:rPr>
          <w:rtl/>
        </w:rPr>
      </w:pPr>
      <w:r>
        <w:rPr>
          <w:rFonts w:hint="cs"/>
          <w:color w:val="auto"/>
          <w:rtl/>
          <w:lang w:eastAsia="en-US"/>
        </w:rPr>
        <w:t>ט' בטבת</w:t>
      </w:r>
      <w:r w:rsidRPr="00D73212">
        <w:rPr>
          <w:color w:val="auto"/>
          <w:rtl/>
          <w:lang w:eastAsia="en-US"/>
        </w:rPr>
        <w:t xml:space="preserve"> </w:t>
      </w:r>
      <w:proofErr w:type="spellStart"/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>ט</w:t>
      </w:r>
      <w:proofErr w:type="spellEnd"/>
      <w:r>
        <w:rPr>
          <w:rFonts w:hint="cs"/>
          <w:color w:val="auto"/>
          <w:rtl/>
          <w:lang w:eastAsia="en-US"/>
        </w:rPr>
        <w:t xml:space="preserve">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17.12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 xml:space="preserve">18  </w:t>
      </w:r>
    </w:p>
    <w:sectPr w:rsidR="00001BAA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084790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05E528A5" w14:textId="3201E1AC" w:rsidR="00001BAA" w:rsidRDefault="00001BAA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ס''ח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התשנ</w:t>
      </w:r>
      <w:proofErr w:type="spellEnd"/>
      <w:r>
        <w:rPr>
          <w:rFonts w:hint="cs"/>
          <w:rtl/>
        </w:rPr>
        <w:t xml:space="preserve">''ה, עמ' 30.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01BAA"/>
    <w:rsid w:val="00015B27"/>
    <w:rsid w:val="00031ACE"/>
    <w:rsid w:val="00063A3E"/>
    <w:rsid w:val="00072CAC"/>
    <w:rsid w:val="0007681A"/>
    <w:rsid w:val="00084790"/>
    <w:rsid w:val="000A542E"/>
    <w:rsid w:val="000C0AB8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E61BD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77AA2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5547D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  <w:rsid w:val="00FD7A94"/>
    <w:rsid w:val="00FE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DA915476-0F31-4C86-855F-F1966FC9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2EE95-D46A-497D-B3AA-F63674DA2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2E33763-1F4E-4DCE-8154-8E32BCEAE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289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אילת וולברג</cp:lastModifiedBy>
  <cp:revision>10</cp:revision>
  <cp:lastPrinted>2018-11-26T16:39:00Z</cp:lastPrinted>
  <dcterms:created xsi:type="dcterms:W3CDTF">2015-04-20T09:58:00Z</dcterms:created>
  <dcterms:modified xsi:type="dcterms:W3CDTF">2018-12-12T13:56:00Z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2076729</vt:r8>
  </property>
</Properties>
</file>