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2074331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A" w14:textId="55397804" w:rsidR="00E13C27" w:rsidRPr="00CF1AA2" w:rsidRDefault="008F6665" w:rsidP="00021A16">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עאידה תומא סלימאן</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יוסף ג'בארין</w:t>
      </w:r>
      <w:r>
        <w:br/>
      </w:r>
      <w:r>
        <w:rPr>
          <w:rFonts w:hint="cs"/>
          <w:b/>
          <w:bCs/>
          <w:rtl/>
        </w:rPr>
        <w:t xml:space="preserve"> </w:t>
      </w:r>
      <w:r>
        <w:tab/>
      </w:r>
      <w:r>
        <w:tab/>
      </w:r>
      <w:r>
        <w:tab/>
      </w:r>
      <w:r>
        <w:tab/>
      </w:r>
      <w:r>
        <w:rPr>
          <w:rFonts w:hint="cs"/>
          <w:b/>
          <w:bCs/>
          <w:rtl/>
        </w:rPr>
        <w:t>עליזה לביא</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מרב מיכאלי</w:t>
      </w:r>
      <w:r>
        <w:br/>
      </w:r>
      <w:r>
        <w:rPr>
          <w:rFonts w:hint="cs"/>
          <w:b/>
          <w:bCs/>
          <w:rtl/>
        </w:rPr>
        <w:t xml:space="preserve"> </w:t>
      </w:r>
      <w:r>
        <w:tab/>
      </w:r>
      <w:r>
        <w:tab/>
      </w:r>
      <w:r>
        <w:tab/>
      </w:r>
      <w:r>
        <w:tab/>
      </w:r>
      <w:r>
        <w:rPr>
          <w:rFonts w:hint="cs"/>
          <w:b/>
          <w:bCs/>
          <w:rtl/>
        </w:rPr>
        <w:t>ניבין אבו רחמון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פ/5897/20</w:t>
      </w:r>
      <w:bookmarkEnd w:id="6"/>
    </w:p>
    <w:p w14:paraId="7F6961AC" w14:textId="77777777" w:rsidR="00E13C27" w:rsidRPr="005E7A20" w:rsidRDefault="00E13C27" w:rsidP="00E13C27">
      <w:pPr>
        <w:spacing w:before="0" w:line="360" w:lineRule="auto"/>
        <w:ind w:left="2880" w:firstLine="720"/>
        <w:rPr>
          <w:rFonts w:cs="David"/>
          <w:sz w:val="28"/>
          <w:szCs w:val="28"/>
          <w:rtl/>
        </w:rPr>
      </w:pPr>
    </w:p>
    <w:p w14:paraId="7F6961AD" w14:textId="40BF1115" w:rsidR="00E13C27" w:rsidRPr="00907DBC" w:rsidRDefault="00907DBC" w:rsidP="00890042">
      <w:pPr>
        <w:pStyle w:val="HeadHatzaotHok"/>
        <w:rPr>
          <w:sz w:val="26"/>
          <w:rtl/>
        </w:rPr>
      </w:pPr>
      <w:bookmarkStart w:id="7" w:name="LGS_Subject"/>
      <w:r>
        <w:rPr>
          <w:rFonts w:hint="cs"/>
          <w:sz w:val="26"/>
          <w:rtl/>
        </w:rPr>
        <w:t>הצעת חוק למניעת אלימות במשפחה (תיקון – התחייבות לקבלת טיפול), התשע"ט</w:t>
      </w:r>
      <w:r w:rsidR="00890042">
        <w:rPr>
          <w:rFonts w:hint="eastAsia"/>
          <w:sz w:val="26"/>
          <w:rtl/>
        </w:rPr>
        <w:t>–</w:t>
      </w:r>
      <w:r>
        <w:rPr>
          <w:rFonts w:hint="cs"/>
          <w:sz w:val="26"/>
          <w:rtl/>
        </w:rPr>
        <w:t>2018</w:t>
      </w:r>
      <w:bookmarkEnd w:id="7"/>
    </w:p>
    <w:p w14:paraId="7F6961AE" w14:textId="77777777" w:rsidR="00E13C27" w:rsidRPr="005E7A20" w:rsidRDefault="00E13C27" w:rsidP="0021633A">
      <w:pPr>
        <w:pStyle w:val="HeadDivreiHesber"/>
        <w:spacing w:before="0" w:after="0"/>
        <w:rPr>
          <w:b w:val="0"/>
          <w:sz w:val="28"/>
          <w:szCs w:val="28"/>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0A221C" w:rsidRPr="00C34DE2" w14:paraId="4543982D" w14:textId="77777777" w:rsidTr="000A221C">
        <w:trPr>
          <w:cantSplit/>
          <w:trHeight w:val="60"/>
        </w:trPr>
        <w:tc>
          <w:tcPr>
            <w:tcW w:w="1871" w:type="dxa"/>
          </w:tcPr>
          <w:p w14:paraId="6B336CDC" w14:textId="60D0B063" w:rsidR="000A221C" w:rsidRPr="000A78B2" w:rsidRDefault="00907DBC" w:rsidP="000A78B2">
            <w:pPr>
              <w:pStyle w:val="TableBlock"/>
            </w:pPr>
            <w:r>
              <w:rPr>
                <w:rFonts w:hint="cs"/>
                <w:rtl/>
              </w:rPr>
              <w:t>תיקון סעיף 2א</w:t>
            </w:r>
          </w:p>
        </w:tc>
        <w:tc>
          <w:tcPr>
            <w:tcW w:w="624" w:type="dxa"/>
          </w:tcPr>
          <w:p w14:paraId="2EE424D7" w14:textId="3AD65600" w:rsidR="000A221C" w:rsidRPr="000A78B2" w:rsidRDefault="000A78B2" w:rsidP="000A78B2">
            <w:pPr>
              <w:pStyle w:val="TableBlock"/>
            </w:pPr>
            <w:r>
              <w:rPr>
                <w:rFonts w:hint="cs"/>
                <w:rtl/>
              </w:rPr>
              <w:t>1.</w:t>
            </w:r>
          </w:p>
        </w:tc>
        <w:tc>
          <w:tcPr>
            <w:tcW w:w="7146" w:type="dxa"/>
          </w:tcPr>
          <w:p w14:paraId="01661BC2" w14:textId="19C5E8AA" w:rsidR="000A221C" w:rsidRPr="000A78B2" w:rsidRDefault="0071057F" w:rsidP="000A78B2">
            <w:pPr>
              <w:pStyle w:val="TableBlock"/>
            </w:pPr>
            <w:r w:rsidRPr="000A78B2">
              <w:rPr>
                <w:rFonts w:hint="cs"/>
                <w:rtl/>
              </w:rPr>
              <w:t>בחוק למניעת אלימות במשפחה, ה</w:t>
            </w:r>
            <w:r w:rsidR="000A221C" w:rsidRPr="000A78B2">
              <w:rPr>
                <w:rFonts w:hint="cs"/>
                <w:rtl/>
              </w:rPr>
              <w:t>תשנ"א</w:t>
            </w:r>
            <w:r w:rsidRPr="000A78B2">
              <w:rPr>
                <w:rFonts w:hint="eastAsia"/>
                <w:rtl/>
              </w:rPr>
              <w:t>–1991</w:t>
            </w:r>
            <w:r w:rsidR="00891C5C" w:rsidRPr="00907DBC">
              <w:rPr>
                <w:vertAlign w:val="superscript"/>
                <w:rtl/>
              </w:rPr>
              <w:footnoteReference w:id="2"/>
            </w:r>
            <w:r w:rsidR="009311ED" w:rsidRPr="000A78B2">
              <w:rPr>
                <w:rFonts w:hint="cs"/>
                <w:rtl/>
              </w:rPr>
              <w:t>,</w:t>
            </w:r>
            <w:r w:rsidR="00FC2004" w:rsidRPr="000A78B2">
              <w:rPr>
                <w:rFonts w:hint="cs"/>
                <w:rtl/>
              </w:rPr>
              <w:t xml:space="preserve"> בסעיף 2א </w:t>
            </w:r>
            <w:r w:rsidR="00FC2004" w:rsidRPr="000A78B2">
              <w:rPr>
                <w:rtl/>
              </w:rPr>
              <w:t>–</w:t>
            </w:r>
            <w:r w:rsidR="00FC2004" w:rsidRPr="000A78B2">
              <w:rPr>
                <w:rFonts w:hint="cs"/>
                <w:rtl/>
              </w:rPr>
              <w:t xml:space="preserve"> </w:t>
            </w:r>
          </w:p>
        </w:tc>
      </w:tr>
      <w:tr w:rsidR="000A221C" w:rsidRPr="005E7A20" w14:paraId="629B0B62" w14:textId="77777777" w:rsidTr="000A221C">
        <w:trPr>
          <w:cantSplit/>
          <w:trHeight w:val="60"/>
        </w:trPr>
        <w:tc>
          <w:tcPr>
            <w:tcW w:w="1871" w:type="dxa"/>
          </w:tcPr>
          <w:p w14:paraId="4DD3D22C" w14:textId="3556F095" w:rsidR="000A221C" w:rsidRPr="000A78B2" w:rsidRDefault="000A221C" w:rsidP="000A78B2">
            <w:pPr>
              <w:pStyle w:val="TableBlock"/>
            </w:pPr>
          </w:p>
        </w:tc>
        <w:tc>
          <w:tcPr>
            <w:tcW w:w="624" w:type="dxa"/>
          </w:tcPr>
          <w:p w14:paraId="5232B9E0" w14:textId="14FC7D13" w:rsidR="000A221C" w:rsidRPr="000A78B2" w:rsidRDefault="000A221C" w:rsidP="000A78B2">
            <w:pPr>
              <w:pStyle w:val="TableBlock"/>
            </w:pPr>
          </w:p>
        </w:tc>
        <w:tc>
          <w:tcPr>
            <w:tcW w:w="7146" w:type="dxa"/>
          </w:tcPr>
          <w:p w14:paraId="7F11A2AF" w14:textId="6D5455C9" w:rsidR="000A221C" w:rsidRPr="000A78B2" w:rsidRDefault="000A78B2" w:rsidP="000A78B2">
            <w:pPr>
              <w:pStyle w:val="TableBlock"/>
            </w:pPr>
            <w:r>
              <w:rPr>
                <w:rFonts w:hint="cs"/>
                <w:rtl/>
              </w:rPr>
              <w:t>(1)</w:t>
            </w:r>
            <w:r>
              <w:rPr>
                <w:rtl/>
              </w:rPr>
              <w:tab/>
            </w:r>
            <w:r w:rsidR="00FC2004" w:rsidRPr="000A78B2">
              <w:rPr>
                <w:rFonts w:hint="cs"/>
                <w:rtl/>
              </w:rPr>
              <w:t>בסעיף קטן (א)</w:t>
            </w:r>
            <w:r w:rsidR="00907DBC">
              <w:rPr>
                <w:rFonts w:hint="cs"/>
                <w:rtl/>
              </w:rPr>
              <w:t>,</w:t>
            </w:r>
            <w:r w:rsidR="00FC2004" w:rsidRPr="000A78B2">
              <w:rPr>
                <w:rFonts w:hint="cs"/>
                <w:rtl/>
              </w:rPr>
              <w:t xml:space="preserve"> במקום "רשאי </w:t>
            </w:r>
            <w:r w:rsidR="00FC2004" w:rsidRPr="000A78B2">
              <w:rPr>
                <w:rtl/>
              </w:rPr>
              <w:t>בית המשפט עם מתן הצו או במועד מאוחר יותר, להורות למחוייב על פי הצו</w:t>
            </w:r>
            <w:r w:rsidR="003653BB" w:rsidRPr="000A78B2">
              <w:rPr>
                <w:rFonts w:hint="cs"/>
                <w:rtl/>
              </w:rPr>
              <w:t xml:space="preserve"> לתת</w:t>
            </w:r>
            <w:r w:rsidR="00FC2004" w:rsidRPr="000A78B2">
              <w:rPr>
                <w:rFonts w:hint="cs"/>
                <w:rtl/>
              </w:rPr>
              <w:t>" יבוא "</w:t>
            </w:r>
            <w:r w:rsidR="003653BB" w:rsidRPr="000A78B2">
              <w:rPr>
                <w:rFonts w:hint="cs"/>
                <w:rtl/>
              </w:rPr>
              <w:t>יורה בית המשפט על קבלת תסקיר כאמור בסעיף 6; אם נוכח בית המשפט כי ה</w:t>
            </w:r>
            <w:r w:rsidRPr="000A78B2">
              <w:rPr>
                <w:rFonts w:hint="cs"/>
                <w:rtl/>
              </w:rPr>
              <w:t>מ</w:t>
            </w:r>
            <w:r w:rsidR="003653BB" w:rsidRPr="000A78B2">
              <w:rPr>
                <w:rFonts w:hint="cs"/>
                <w:rtl/>
              </w:rPr>
              <w:t>חו</w:t>
            </w:r>
            <w:r w:rsidRPr="000A78B2">
              <w:rPr>
                <w:rFonts w:hint="cs"/>
                <w:rtl/>
              </w:rPr>
              <w:t>י</w:t>
            </w:r>
            <w:r w:rsidR="003653BB" w:rsidRPr="000A78B2">
              <w:rPr>
                <w:rFonts w:hint="cs"/>
                <w:rtl/>
              </w:rPr>
              <w:t>יב על פי צו ההגנה מתאים לטיפול, יורה בית המשפט שהמחוייב יתן</w:t>
            </w:r>
            <w:r>
              <w:rPr>
                <w:rFonts w:hint="cs"/>
                <w:rtl/>
              </w:rPr>
              <w:t>";</w:t>
            </w:r>
          </w:p>
        </w:tc>
      </w:tr>
      <w:tr w:rsidR="000A221C" w:rsidRPr="005E7A20" w14:paraId="27385BC8" w14:textId="77777777" w:rsidTr="000A221C">
        <w:trPr>
          <w:cantSplit/>
          <w:trHeight w:val="60"/>
        </w:trPr>
        <w:tc>
          <w:tcPr>
            <w:tcW w:w="1871" w:type="dxa"/>
          </w:tcPr>
          <w:p w14:paraId="71109986" w14:textId="77777777" w:rsidR="000A221C" w:rsidRPr="000A78B2" w:rsidRDefault="000A221C" w:rsidP="000A78B2">
            <w:pPr>
              <w:pStyle w:val="TableBlock"/>
            </w:pPr>
          </w:p>
        </w:tc>
        <w:tc>
          <w:tcPr>
            <w:tcW w:w="624" w:type="dxa"/>
          </w:tcPr>
          <w:p w14:paraId="24DE8B3D" w14:textId="1E9AB54A" w:rsidR="000A221C" w:rsidRPr="000A78B2" w:rsidRDefault="000A221C" w:rsidP="000A78B2">
            <w:pPr>
              <w:pStyle w:val="TableBlock"/>
            </w:pPr>
          </w:p>
        </w:tc>
        <w:tc>
          <w:tcPr>
            <w:tcW w:w="7146" w:type="dxa"/>
          </w:tcPr>
          <w:p w14:paraId="089069D2" w14:textId="13DEB1AD" w:rsidR="000A221C" w:rsidRPr="000A78B2" w:rsidRDefault="003653BB" w:rsidP="00907DBC">
            <w:pPr>
              <w:pStyle w:val="TableBlock"/>
            </w:pPr>
            <w:r w:rsidRPr="000A78B2">
              <w:rPr>
                <w:rFonts w:hint="cs"/>
                <w:rtl/>
              </w:rPr>
              <w:t>(2)</w:t>
            </w:r>
            <w:r w:rsidRPr="000A78B2">
              <w:rPr>
                <w:rtl/>
              </w:rPr>
              <w:tab/>
            </w:r>
            <w:r w:rsidRPr="000A78B2">
              <w:rPr>
                <w:rFonts w:hint="cs"/>
                <w:rtl/>
              </w:rPr>
              <w:t xml:space="preserve">סעיף קטן (ב) </w:t>
            </w:r>
            <w:r w:rsidRPr="000A78B2">
              <w:rPr>
                <w:rtl/>
              </w:rPr>
              <w:t>–</w:t>
            </w:r>
            <w:r w:rsidRPr="000A78B2">
              <w:rPr>
                <w:rFonts w:hint="cs"/>
                <w:rtl/>
              </w:rPr>
              <w:t xml:space="preserve"> </w:t>
            </w:r>
            <w:r w:rsidR="00907DBC">
              <w:rPr>
                <w:rFonts w:hint="cs"/>
                <w:rtl/>
              </w:rPr>
              <w:t>בטל</w:t>
            </w:r>
            <w:r w:rsidRPr="000A78B2">
              <w:rPr>
                <w:rFonts w:hint="cs"/>
                <w:rtl/>
              </w:rPr>
              <w:t>."</w:t>
            </w:r>
          </w:p>
        </w:tc>
      </w:tr>
    </w:tbl>
    <w:p w14:paraId="7F6961CA" w14:textId="7769E1A2" w:rsidR="002D1EE3" w:rsidRPr="000438CB" w:rsidRDefault="00891C5C" w:rsidP="000438CB">
      <w:pPr>
        <w:pStyle w:val="HeadDivreiHesber"/>
        <w:rPr>
          <w:rtl/>
        </w:rPr>
      </w:pPr>
      <w:r w:rsidRPr="000438CB">
        <w:rPr>
          <w:rFonts w:hint="cs"/>
          <w:rtl/>
        </w:rPr>
        <w:t>ד</w:t>
      </w:r>
      <w:r w:rsidR="002D1EE3" w:rsidRPr="000438CB">
        <w:rPr>
          <w:rFonts w:hint="cs"/>
          <w:rtl/>
        </w:rPr>
        <w:t>ברי הסבר</w:t>
      </w:r>
    </w:p>
    <w:p w14:paraId="3D1F3105" w14:textId="6152E707" w:rsidR="005E7A20" w:rsidRPr="00891C5C" w:rsidRDefault="005E7A20" w:rsidP="00907DBC">
      <w:pPr>
        <w:pStyle w:val="Hesber1st"/>
        <w:tabs>
          <w:tab w:val="clear" w:pos="680"/>
        </w:tabs>
        <w:rPr>
          <w:rtl/>
        </w:rPr>
      </w:pPr>
      <w:r w:rsidRPr="005E7A20">
        <w:rPr>
          <w:rFonts w:hint="cs"/>
          <w:rtl/>
          <w:lang w:eastAsia="en-US"/>
        </w:rPr>
        <w:t xml:space="preserve">בשנת </w:t>
      </w:r>
      <w:r w:rsidRPr="00891C5C">
        <w:rPr>
          <w:rFonts w:hint="cs"/>
          <w:rtl/>
        </w:rPr>
        <w:t>1996</w:t>
      </w:r>
      <w:r w:rsidRPr="005E7A20">
        <w:rPr>
          <w:rFonts w:hint="cs"/>
          <w:rtl/>
          <w:lang w:eastAsia="en-US"/>
        </w:rPr>
        <w:t xml:space="preserve"> תוקן </w:t>
      </w:r>
      <w:r w:rsidR="002946F6">
        <w:rPr>
          <w:rFonts w:hint="cs"/>
          <w:rtl/>
          <w:lang w:eastAsia="en-US"/>
        </w:rPr>
        <w:t>ה</w:t>
      </w:r>
      <w:r w:rsidR="00FC2004">
        <w:rPr>
          <w:rFonts w:hint="cs"/>
          <w:rtl/>
          <w:lang w:eastAsia="en-US"/>
        </w:rPr>
        <w:t>חוק למניעת אלימות במשפחה, התשנ</w:t>
      </w:r>
      <w:r w:rsidR="002946F6">
        <w:rPr>
          <w:rFonts w:hint="cs"/>
          <w:rtl/>
          <w:lang w:eastAsia="en-US"/>
        </w:rPr>
        <w:t>"</w:t>
      </w:r>
      <w:r w:rsidR="00FC2004">
        <w:rPr>
          <w:rFonts w:hint="cs"/>
          <w:rtl/>
          <w:lang w:eastAsia="en-US"/>
        </w:rPr>
        <w:t>א</w:t>
      </w:r>
      <w:r w:rsidR="002946F6">
        <w:rPr>
          <w:rFonts w:hint="eastAsia"/>
          <w:rtl/>
          <w:lang w:eastAsia="en-US"/>
        </w:rPr>
        <w:t xml:space="preserve">–1991, </w:t>
      </w:r>
      <w:r w:rsidRPr="005E7A20">
        <w:rPr>
          <w:rFonts w:hint="cs"/>
          <w:rtl/>
          <w:lang w:eastAsia="en-US"/>
        </w:rPr>
        <w:t xml:space="preserve">ונוספה לו האפשרות </w:t>
      </w:r>
      <w:r w:rsidR="002946F6">
        <w:rPr>
          <w:rFonts w:hint="cs"/>
          <w:rtl/>
          <w:lang w:eastAsia="en-US"/>
        </w:rPr>
        <w:t>ש</w:t>
      </w:r>
      <w:r w:rsidRPr="005E7A20">
        <w:rPr>
          <w:rFonts w:hint="cs"/>
          <w:rtl/>
          <w:lang w:eastAsia="en-US"/>
        </w:rPr>
        <w:t xml:space="preserve">בית </w:t>
      </w:r>
      <w:r w:rsidR="002946F6">
        <w:rPr>
          <w:rFonts w:hint="cs"/>
          <w:rtl/>
        </w:rPr>
        <w:t xml:space="preserve">המשפט </w:t>
      </w:r>
      <w:r w:rsidR="00C00D04">
        <w:rPr>
          <w:rFonts w:hint="cs"/>
          <w:rtl/>
        </w:rPr>
        <w:t>יהיה רשאי</w:t>
      </w:r>
      <w:r w:rsidR="002946F6">
        <w:rPr>
          <w:rFonts w:hint="cs"/>
          <w:rtl/>
        </w:rPr>
        <w:t xml:space="preserve"> להורות ל</w:t>
      </w:r>
      <w:r w:rsidRPr="00891C5C">
        <w:rPr>
          <w:rFonts w:hint="cs"/>
          <w:rtl/>
        </w:rPr>
        <w:t>אדם שהורשע באלימות כלפי בני משפחתו לעבור טיפול שיקומי בהתאם לתקופה ולתכנית שייקבעו על ידי בית המשפט. על אף עיגון האפשרות בחקיקה, ב-22 השנים שחלפו מאז התיקון הופנו רק עשרות בודדות של גברים אלימים לטיפול ו</w:t>
      </w:r>
      <w:r w:rsidR="002946F6">
        <w:rPr>
          <w:rFonts w:hint="cs"/>
          <w:rtl/>
        </w:rPr>
        <w:t xml:space="preserve">למרות שנפתחו תיקים רבים בגין </w:t>
      </w:r>
      <w:r w:rsidRPr="00891C5C">
        <w:rPr>
          <w:rFonts w:hint="cs"/>
          <w:rtl/>
        </w:rPr>
        <w:t>אלימות במשפחה ו</w:t>
      </w:r>
      <w:r w:rsidR="002946F6">
        <w:rPr>
          <w:rFonts w:hint="cs"/>
          <w:rtl/>
        </w:rPr>
        <w:t>למרות שניתנו</w:t>
      </w:r>
      <w:r w:rsidRPr="00891C5C">
        <w:rPr>
          <w:rFonts w:hint="cs"/>
          <w:rtl/>
        </w:rPr>
        <w:t xml:space="preserve"> צווי ההגנה כנגד </w:t>
      </w:r>
      <w:r w:rsidR="00C00D04">
        <w:rPr>
          <w:rFonts w:hint="cs"/>
          <w:rtl/>
        </w:rPr>
        <w:t>רבים</w:t>
      </w:r>
      <w:r w:rsidR="002946F6">
        <w:rPr>
          <w:rFonts w:hint="cs"/>
          <w:rtl/>
        </w:rPr>
        <w:t xml:space="preserve"> מה</w:t>
      </w:r>
      <w:r w:rsidRPr="00891C5C">
        <w:rPr>
          <w:rFonts w:hint="cs"/>
          <w:rtl/>
        </w:rPr>
        <w:t xml:space="preserve">גברים </w:t>
      </w:r>
      <w:r w:rsidR="002946F6">
        <w:rPr>
          <w:rFonts w:hint="cs"/>
          <w:rtl/>
        </w:rPr>
        <w:t>ה</w:t>
      </w:r>
      <w:r w:rsidRPr="00891C5C">
        <w:rPr>
          <w:rFonts w:hint="cs"/>
          <w:rtl/>
        </w:rPr>
        <w:t>אלימים.</w:t>
      </w:r>
    </w:p>
    <w:p w14:paraId="70A86EF8" w14:textId="72E452F1" w:rsidR="005E7A20" w:rsidRPr="00EB0EDB" w:rsidRDefault="005E7A20" w:rsidP="002946F6">
      <w:pPr>
        <w:pStyle w:val="Hesber"/>
        <w:rPr>
          <w:rtl/>
        </w:rPr>
      </w:pPr>
      <w:r w:rsidRPr="00891C5C">
        <w:rPr>
          <w:rFonts w:hint="cs"/>
          <w:rtl/>
        </w:rPr>
        <w:t>נוכח האמור, מוצע לשנות את סעיף החקיקה הרלוונטי כך שבמקרה של מתן צו הגנה כנגד אדם בשל אלימות כלפי משפחתו</w:t>
      </w:r>
      <w:r w:rsidRPr="00EB0EDB">
        <w:rPr>
          <w:rFonts w:hint="cs"/>
          <w:rtl/>
        </w:rPr>
        <w:t xml:space="preserve">, </w:t>
      </w:r>
      <w:r w:rsidRPr="00BA0F87">
        <w:rPr>
          <w:rFonts w:hint="eastAsia"/>
          <w:rtl/>
        </w:rPr>
        <w:t>יחויב</w:t>
      </w:r>
      <w:r w:rsidRPr="00BA0F87">
        <w:rPr>
          <w:rtl/>
        </w:rPr>
        <w:t xml:space="preserve"> </w:t>
      </w:r>
      <w:r w:rsidRPr="00BA0F87">
        <w:rPr>
          <w:rFonts w:hint="eastAsia"/>
          <w:rtl/>
        </w:rPr>
        <w:t>אותו</w:t>
      </w:r>
      <w:r w:rsidRPr="00BA0F87">
        <w:rPr>
          <w:rtl/>
        </w:rPr>
        <w:t xml:space="preserve"> </w:t>
      </w:r>
      <w:r w:rsidRPr="00BA0F87">
        <w:rPr>
          <w:rFonts w:hint="eastAsia"/>
          <w:rtl/>
        </w:rPr>
        <w:t>אדם</w:t>
      </w:r>
      <w:r w:rsidRPr="00BA0F87">
        <w:rPr>
          <w:rtl/>
        </w:rPr>
        <w:t xml:space="preserve"> </w:t>
      </w:r>
      <w:r w:rsidRPr="00BA0F87">
        <w:rPr>
          <w:rFonts w:hint="eastAsia"/>
          <w:rtl/>
        </w:rPr>
        <w:t>לעבור</w:t>
      </w:r>
      <w:r w:rsidRPr="00BA0F87">
        <w:rPr>
          <w:rtl/>
        </w:rPr>
        <w:t xml:space="preserve"> </w:t>
      </w:r>
      <w:r w:rsidRPr="00BA0F87">
        <w:rPr>
          <w:rFonts w:hint="eastAsia"/>
          <w:rtl/>
        </w:rPr>
        <w:t>טיפול</w:t>
      </w:r>
      <w:r w:rsidRPr="00BA0F87">
        <w:rPr>
          <w:rtl/>
        </w:rPr>
        <w:t xml:space="preserve"> </w:t>
      </w:r>
      <w:r w:rsidRPr="00BA0F87">
        <w:rPr>
          <w:rFonts w:hint="eastAsia"/>
          <w:rtl/>
        </w:rPr>
        <w:t>שיקומי</w:t>
      </w:r>
      <w:r w:rsidRPr="00BA0F87">
        <w:rPr>
          <w:rtl/>
        </w:rPr>
        <w:t xml:space="preserve"> </w:t>
      </w:r>
      <w:r w:rsidRPr="00BA0F87">
        <w:rPr>
          <w:rFonts w:hint="eastAsia"/>
          <w:rtl/>
        </w:rPr>
        <w:t>בהתאם</w:t>
      </w:r>
      <w:r w:rsidRPr="00BA0F87">
        <w:rPr>
          <w:rtl/>
        </w:rPr>
        <w:t xml:space="preserve"> </w:t>
      </w:r>
      <w:r w:rsidRPr="00BA0F87">
        <w:rPr>
          <w:rFonts w:hint="eastAsia"/>
          <w:rtl/>
        </w:rPr>
        <w:t>לתקופה</w:t>
      </w:r>
      <w:r w:rsidRPr="00BA0F87">
        <w:rPr>
          <w:rtl/>
        </w:rPr>
        <w:t xml:space="preserve"> </w:t>
      </w:r>
      <w:r w:rsidRPr="00BA0F87">
        <w:rPr>
          <w:rFonts w:hint="eastAsia"/>
          <w:rtl/>
        </w:rPr>
        <w:t>ולתכנית</w:t>
      </w:r>
      <w:r w:rsidRPr="00BA0F87">
        <w:rPr>
          <w:rtl/>
        </w:rPr>
        <w:t xml:space="preserve"> </w:t>
      </w:r>
      <w:r w:rsidRPr="00BA0F87">
        <w:rPr>
          <w:rFonts w:hint="eastAsia"/>
          <w:rtl/>
        </w:rPr>
        <w:t>שייקבעו</w:t>
      </w:r>
      <w:r w:rsidRPr="00BA0F87">
        <w:rPr>
          <w:rtl/>
        </w:rPr>
        <w:t xml:space="preserve"> </w:t>
      </w:r>
      <w:r w:rsidRPr="00BA0F87">
        <w:rPr>
          <w:rFonts w:hint="eastAsia"/>
          <w:rtl/>
        </w:rPr>
        <w:t>על</w:t>
      </w:r>
      <w:r w:rsidRPr="00BA0F87">
        <w:rPr>
          <w:rtl/>
        </w:rPr>
        <w:t xml:space="preserve"> </w:t>
      </w:r>
      <w:r w:rsidRPr="00BA0F87">
        <w:rPr>
          <w:rFonts w:hint="eastAsia"/>
          <w:rtl/>
        </w:rPr>
        <w:t>ידי</w:t>
      </w:r>
      <w:r w:rsidRPr="00BA0F87">
        <w:rPr>
          <w:rtl/>
        </w:rPr>
        <w:t xml:space="preserve"> </w:t>
      </w:r>
      <w:r w:rsidRPr="00BA0F87">
        <w:rPr>
          <w:rFonts w:hint="eastAsia"/>
          <w:rtl/>
        </w:rPr>
        <w:t>בית</w:t>
      </w:r>
      <w:r w:rsidRPr="00BA0F87">
        <w:rPr>
          <w:rtl/>
        </w:rPr>
        <w:t xml:space="preserve"> </w:t>
      </w:r>
      <w:r w:rsidRPr="00BA0F87">
        <w:rPr>
          <w:rFonts w:hint="eastAsia"/>
          <w:rtl/>
        </w:rPr>
        <w:t>המשפט</w:t>
      </w:r>
      <w:r w:rsidRPr="00BA0F87">
        <w:rPr>
          <w:rtl/>
        </w:rPr>
        <w:t>.</w:t>
      </w:r>
      <w:r w:rsidRPr="00EB0EDB">
        <w:rPr>
          <w:rFonts w:hint="cs"/>
          <w:rtl/>
        </w:rPr>
        <w:t xml:space="preserve"> </w:t>
      </w:r>
    </w:p>
    <w:p w14:paraId="08B61E5A" w14:textId="70936530" w:rsidR="005E7A20" w:rsidRPr="00891C5C" w:rsidRDefault="005E7A20" w:rsidP="00907DBC">
      <w:pPr>
        <w:pStyle w:val="Hesber"/>
        <w:rPr>
          <w:rtl/>
        </w:rPr>
      </w:pPr>
      <w:r w:rsidRPr="00EB0EDB">
        <w:rPr>
          <w:rFonts w:hint="eastAsia"/>
          <w:rtl/>
        </w:rPr>
        <w:lastRenderedPageBreak/>
        <w:t>הניסיון</w:t>
      </w:r>
      <w:r w:rsidRPr="00EB0EDB">
        <w:rPr>
          <w:rtl/>
        </w:rPr>
        <w:t xml:space="preserve"> של רשויות המדינה והגורמים הטיפוליים מעיד על כך שטיפול רגשי לגברים אלימים לעיתים </w:t>
      </w:r>
      <w:r w:rsidRPr="00EB0EDB">
        <w:rPr>
          <w:rFonts w:hint="eastAsia"/>
          <w:rtl/>
        </w:rPr>
        <w:t>קרובות</w:t>
      </w:r>
      <w:r w:rsidRPr="00EB0EDB">
        <w:rPr>
          <w:rtl/>
        </w:rPr>
        <w:t xml:space="preserve"> </w:t>
      </w:r>
      <w:r w:rsidRPr="00EB0EDB">
        <w:rPr>
          <w:rFonts w:hint="eastAsia"/>
          <w:rtl/>
        </w:rPr>
        <w:t>מוכיח</w:t>
      </w:r>
      <w:r w:rsidRPr="00EB0EDB">
        <w:rPr>
          <w:rtl/>
        </w:rPr>
        <w:t xml:space="preserve"> </w:t>
      </w:r>
      <w:r w:rsidRPr="00EB0EDB">
        <w:rPr>
          <w:rFonts w:hint="eastAsia"/>
          <w:rtl/>
        </w:rPr>
        <w:t>את</w:t>
      </w:r>
      <w:r w:rsidRPr="00EB0EDB">
        <w:rPr>
          <w:rtl/>
        </w:rPr>
        <w:t xml:space="preserve"> </w:t>
      </w:r>
      <w:r w:rsidRPr="00EB0EDB">
        <w:rPr>
          <w:rFonts w:hint="eastAsia"/>
          <w:rtl/>
        </w:rPr>
        <w:t>עצמו</w:t>
      </w:r>
      <w:r w:rsidRPr="00EB0EDB">
        <w:rPr>
          <w:rtl/>
        </w:rPr>
        <w:t xml:space="preserve"> </w:t>
      </w:r>
      <w:r w:rsidRPr="00EB0EDB">
        <w:rPr>
          <w:rFonts w:hint="eastAsia"/>
          <w:rtl/>
        </w:rPr>
        <w:t>כיעיל</w:t>
      </w:r>
      <w:r w:rsidRPr="00891C5C">
        <w:rPr>
          <w:rFonts w:hint="cs"/>
          <w:rtl/>
        </w:rPr>
        <w:t xml:space="preserve"> במניעת המשך האלימות ומהווה אלטרנטיבה ראויה וקלה ליישום בהרבה מהרחקת הצד הנפגע מהקהילה </w:t>
      </w:r>
      <w:r w:rsidR="00907DBC">
        <w:rPr>
          <w:rFonts w:hint="cs"/>
          <w:rtl/>
        </w:rPr>
        <w:t>כדי</w:t>
      </w:r>
      <w:r w:rsidRPr="00891C5C">
        <w:rPr>
          <w:rFonts w:hint="cs"/>
          <w:rtl/>
        </w:rPr>
        <w:t xml:space="preserve"> להגן עליו מפני המשך האלימות. </w:t>
      </w:r>
    </w:p>
    <w:p w14:paraId="4DB718B8" w14:textId="77777777" w:rsidR="005E7A20" w:rsidRPr="00891C5C" w:rsidRDefault="005E7A20" w:rsidP="00891C5C">
      <w:pPr>
        <w:pStyle w:val="Hesber"/>
        <w:rPr>
          <w:rtl/>
        </w:rPr>
      </w:pPr>
      <w:r w:rsidRPr="00891C5C">
        <w:rPr>
          <w:rFonts w:hint="cs"/>
          <w:rtl/>
        </w:rPr>
        <w:t xml:space="preserve">על אף האמור, מחקרים מראים כי גברים אינם נוטים לפנות לטיפול מיוזמתם ולעיתים קרובות אף נרתעים מפנייה לטיפול בשל הבושה שבפנייה לסיוע וחשש מתיוג חברתי כ"גבר אלים". גורמים טיפוליים בקהילה כמשטרה ומערכות הרווחה אינן עושות די שימוש בכלי הטיפולי לצורך טיפול במקרים של אלימות במשפחה. </w:t>
      </w:r>
    </w:p>
    <w:p w14:paraId="043C2343" w14:textId="587D405C" w:rsidR="005E7A20" w:rsidRPr="00891C5C" w:rsidRDefault="00907DBC" w:rsidP="00907DBC">
      <w:pPr>
        <w:pStyle w:val="Hesber"/>
        <w:rPr>
          <w:rtl/>
        </w:rPr>
      </w:pPr>
      <w:r>
        <w:rPr>
          <w:rFonts w:hint="cs"/>
          <w:rtl/>
        </w:rPr>
        <w:t>מוצע כי</w:t>
      </w:r>
      <w:r w:rsidR="00C00D04">
        <w:rPr>
          <w:rFonts w:hint="cs"/>
          <w:rtl/>
        </w:rPr>
        <w:t xml:space="preserve"> תהיה חובה לקבל </w:t>
      </w:r>
      <w:r>
        <w:rPr>
          <w:rFonts w:hint="cs"/>
          <w:rtl/>
        </w:rPr>
        <w:t>טיפול</w:t>
      </w:r>
      <w:r w:rsidR="00C00D04">
        <w:rPr>
          <w:rFonts w:hint="cs"/>
          <w:rtl/>
        </w:rPr>
        <w:t xml:space="preserve"> לאחר מתן צו הגנה ו</w:t>
      </w:r>
      <w:r>
        <w:rPr>
          <w:rFonts w:hint="cs"/>
          <w:rtl/>
        </w:rPr>
        <w:t xml:space="preserve">נוסף על כך מוצע כי </w:t>
      </w:r>
      <w:r w:rsidR="005E7A20" w:rsidRPr="00891C5C">
        <w:rPr>
          <w:rFonts w:hint="cs"/>
          <w:rtl/>
        </w:rPr>
        <w:t>הוראה על קבלת טיפול לא תהא וולונטרית אלא תהא מחייבת. על אף האמור, ייוותר לבית המשפט שיקול דעת שלא להורות על קבלת טיפול במקרים שבהם עולה כי המחויב על פי צו ההגנה אינו מתאים לטיפול</w:t>
      </w:r>
      <w:r w:rsidR="000A78B2">
        <w:rPr>
          <w:rFonts w:hint="cs"/>
          <w:rtl/>
        </w:rPr>
        <w:t>.</w:t>
      </w:r>
    </w:p>
    <w:p w14:paraId="7BD3FA12"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0E2D8232"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0FCF6E1D" w14:textId="77777777" w:rsidR="00021A16" w:rsidRPr="00D73212" w:rsidRDefault="00021A16" w:rsidP="00021A16">
      <w:pPr>
        <w:pStyle w:val="Hesber"/>
        <w:rPr>
          <w:color w:val="auto"/>
          <w:rtl/>
          <w:lang w:eastAsia="en-US"/>
        </w:rPr>
      </w:pPr>
      <w:r w:rsidRPr="00D73212">
        <w:rPr>
          <w:color w:val="auto"/>
          <w:rtl/>
          <w:lang w:eastAsia="en-US"/>
        </w:rPr>
        <w:t>---------------------------------</w:t>
      </w:r>
    </w:p>
    <w:p w14:paraId="23C00216" w14:textId="77777777" w:rsidR="00021A16" w:rsidRPr="00D73212" w:rsidRDefault="00021A16" w:rsidP="00021A16">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181CDEA3" w14:textId="77777777" w:rsidR="00021A16" w:rsidRPr="00D73212" w:rsidRDefault="00021A16" w:rsidP="00021A16">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2695C21F" w14:textId="77777777" w:rsidR="00021A16" w:rsidRPr="00317312" w:rsidRDefault="00021A16" w:rsidP="00021A16">
      <w:pPr>
        <w:pStyle w:val="Hesber"/>
      </w:pPr>
      <w:r>
        <w:rPr>
          <w:rFonts w:hint="cs"/>
          <w:color w:val="auto"/>
          <w:rtl/>
          <w:lang w:eastAsia="en-US"/>
        </w:rPr>
        <w:t>כ"ה בכסלו</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3.12</w:t>
      </w:r>
      <w:r w:rsidRPr="00D73212">
        <w:rPr>
          <w:color w:val="auto"/>
          <w:rtl/>
          <w:lang w:eastAsia="en-US"/>
        </w:rPr>
        <w:t>.</w:t>
      </w:r>
      <w:r>
        <w:rPr>
          <w:rFonts w:hint="cs"/>
          <w:color w:val="auto"/>
          <w:rtl/>
          <w:lang w:eastAsia="en-US"/>
        </w:rPr>
        <w:t xml:space="preserve">18   </w:t>
      </w:r>
    </w:p>
    <w:p w14:paraId="02E8832C" w14:textId="77777777" w:rsidR="00EB0EDB" w:rsidRPr="00021A16"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2CFCDBA5"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7B83064F"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6C95EC79"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4E9DCDD3"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16EDF8D6"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426FF3C6"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5BE7B816"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638E16EE"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5D129ABA"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2DC6AB7C"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39AD8CB0"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51FB1135"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27CFECDB"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6EBE55C9"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16EE041F"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4420D5BB"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3AB430D0"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2DC17926"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72517B9F"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3B007447"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p>
    <w:p w14:paraId="1B79A8D4" w14:textId="77777777" w:rsidR="00EB0EDB" w:rsidRDefault="00EB0EDB" w:rsidP="00BA0F87">
      <w:pPr>
        <w:pStyle w:val="p00"/>
        <w:bidi/>
        <w:spacing w:before="72" w:beforeAutospacing="0" w:after="0" w:afterAutospacing="0"/>
        <w:ind w:left="720" w:right="1134"/>
        <w:rPr>
          <w:rFonts w:ascii="Time New Roman" w:hAnsi="Time New Roman"/>
          <w:b/>
          <w:bCs/>
          <w:color w:val="008000"/>
          <w:sz w:val="27"/>
          <w:szCs w:val="27"/>
          <w:rtl/>
        </w:rPr>
      </w:pPr>
      <w:bookmarkStart w:id="8" w:name="_GoBack"/>
      <w:bookmarkEnd w:id="8"/>
    </w:p>
    <w:sectPr w:rsidR="00EB0ED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F5358">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91C5C">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00A5B8F" w14:textId="5169B477" w:rsidR="00891C5C" w:rsidRDefault="00891C5C">
      <w:pPr>
        <w:pStyle w:val="a4"/>
        <w:rPr>
          <w:rtl/>
        </w:rPr>
      </w:pPr>
      <w:r>
        <w:rPr>
          <w:rStyle w:val="a5"/>
        </w:rPr>
        <w:footnoteRef/>
      </w:r>
      <w:r>
        <w:rPr>
          <w:rtl/>
        </w:rPr>
        <w:t xml:space="preserve"> </w:t>
      </w:r>
      <w:r>
        <w:rPr>
          <w:rFonts w:hint="cs"/>
          <w:rtl/>
        </w:rPr>
        <w:t>ס"ח התשנ"א, עמ' 138.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B6ABE"/>
    <w:multiLevelType w:val="hybridMultilevel"/>
    <w:tmpl w:val="F154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2C33"/>
    <w:rsid w:val="00015B27"/>
    <w:rsid w:val="00021A16"/>
    <w:rsid w:val="000438CB"/>
    <w:rsid w:val="00063A3E"/>
    <w:rsid w:val="00072CAC"/>
    <w:rsid w:val="0007681A"/>
    <w:rsid w:val="000A221C"/>
    <w:rsid w:val="000A542E"/>
    <w:rsid w:val="000A78B2"/>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946F6"/>
    <w:rsid w:val="002A487D"/>
    <w:rsid w:val="002C2E29"/>
    <w:rsid w:val="002C3041"/>
    <w:rsid w:val="002D1EE3"/>
    <w:rsid w:val="002F1D80"/>
    <w:rsid w:val="003232A2"/>
    <w:rsid w:val="00325C14"/>
    <w:rsid w:val="00344868"/>
    <w:rsid w:val="0036422C"/>
    <w:rsid w:val="003653BB"/>
    <w:rsid w:val="003710F6"/>
    <w:rsid w:val="00386E88"/>
    <w:rsid w:val="00396585"/>
    <w:rsid w:val="003D6E38"/>
    <w:rsid w:val="003D74A0"/>
    <w:rsid w:val="004033D8"/>
    <w:rsid w:val="004073F0"/>
    <w:rsid w:val="00412A7D"/>
    <w:rsid w:val="00416B4D"/>
    <w:rsid w:val="00417CFC"/>
    <w:rsid w:val="004A06DC"/>
    <w:rsid w:val="004B24ED"/>
    <w:rsid w:val="004B3461"/>
    <w:rsid w:val="004B6625"/>
    <w:rsid w:val="004D2D82"/>
    <w:rsid w:val="004D3876"/>
    <w:rsid w:val="004E4552"/>
    <w:rsid w:val="004E6CDF"/>
    <w:rsid w:val="00553C9D"/>
    <w:rsid w:val="00562A66"/>
    <w:rsid w:val="005B064E"/>
    <w:rsid w:val="005D51AE"/>
    <w:rsid w:val="005E7A20"/>
    <w:rsid w:val="0062674B"/>
    <w:rsid w:val="006363B2"/>
    <w:rsid w:val="00644940"/>
    <w:rsid w:val="006818A9"/>
    <w:rsid w:val="006A2D81"/>
    <w:rsid w:val="006C1D0D"/>
    <w:rsid w:val="006F5358"/>
    <w:rsid w:val="0070601E"/>
    <w:rsid w:val="0071057F"/>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38E5"/>
    <w:rsid w:val="00865572"/>
    <w:rsid w:val="00874BBC"/>
    <w:rsid w:val="00890042"/>
    <w:rsid w:val="00891C5C"/>
    <w:rsid w:val="00892135"/>
    <w:rsid w:val="00895449"/>
    <w:rsid w:val="00897879"/>
    <w:rsid w:val="008A1ECB"/>
    <w:rsid w:val="008A6870"/>
    <w:rsid w:val="008C2DDC"/>
    <w:rsid w:val="008C7516"/>
    <w:rsid w:val="008E4865"/>
    <w:rsid w:val="008E6EC7"/>
    <w:rsid w:val="008F0D63"/>
    <w:rsid w:val="008F1308"/>
    <w:rsid w:val="008F2C35"/>
    <w:rsid w:val="008F6665"/>
    <w:rsid w:val="00904591"/>
    <w:rsid w:val="00905E5F"/>
    <w:rsid w:val="00907DBC"/>
    <w:rsid w:val="0091204F"/>
    <w:rsid w:val="009203DB"/>
    <w:rsid w:val="00923CD4"/>
    <w:rsid w:val="00930EFE"/>
    <w:rsid w:val="009311ED"/>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A0F87"/>
    <w:rsid w:val="00BC45FB"/>
    <w:rsid w:val="00BF148D"/>
    <w:rsid w:val="00C00D04"/>
    <w:rsid w:val="00C23B1A"/>
    <w:rsid w:val="00C2746C"/>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B0EDB"/>
    <w:rsid w:val="00ED2AC6"/>
    <w:rsid w:val="00ED4A6F"/>
    <w:rsid w:val="00EF3A3A"/>
    <w:rsid w:val="00F628D6"/>
    <w:rsid w:val="00F67051"/>
    <w:rsid w:val="00F86A1E"/>
    <w:rsid w:val="00FA5E88"/>
    <w:rsid w:val="00FC20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A24501F-C2C4-42D2-AFF6-FD8DC6A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big-number">
    <w:name w:val="big-number"/>
    <w:basedOn w:val="a0"/>
    <w:rsid w:val="005E7A20"/>
  </w:style>
  <w:style w:type="character" w:customStyle="1" w:styleId="default">
    <w:name w:val="default"/>
    <w:basedOn w:val="a0"/>
    <w:rsid w:val="005E7A20"/>
  </w:style>
  <w:style w:type="paragraph" w:customStyle="1" w:styleId="p00">
    <w:name w:val="p00"/>
    <w:basedOn w:val="a"/>
    <w:rsid w:val="009311E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p22">
    <w:name w:val="p22"/>
    <w:basedOn w:val="a"/>
    <w:rsid w:val="009311E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p02">
    <w:name w:val="p02"/>
    <w:basedOn w:val="a"/>
    <w:rsid w:val="009311E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29441">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440FDAF8-8994-452B-A7A5-57590CDC7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9F831F0-6BE3-4B00-8334-49BB76D5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334</Words>
  <Characters>1909</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27</cp:revision>
  <cp:lastPrinted>2018-11-29T11:55:00Z</cp:lastPrinted>
  <dcterms:created xsi:type="dcterms:W3CDTF">2015-04-20T09:58:00Z</dcterms:created>
  <dcterms:modified xsi:type="dcterms:W3CDTF">2018-11-29T11:56:00Z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2074331</vt:r8>
  </property>
</Properties>
</file>