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2072608</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שרן השכל</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332208A7" w:rsidR="00E13C27" w:rsidRPr="00E06736" w:rsidRDefault="00904591" w:rsidP="00324822">
      <w:pPr>
        <w:pStyle w:val="David"/>
        <w:spacing w:before="0" w:line="240" w:lineRule="auto"/>
        <w:ind w:left="2824" w:firstLine="720"/>
        <w:rPr>
          <w:rtl/>
        </w:rPr>
      </w:pPr>
      <w:r>
        <w:t xml:space="preserve">            </w:t>
      </w:r>
      <w:bookmarkStart w:id="6" w:name="Private_Number"/>
      <w:r w:rsidR="00324822">
        <w:t xml:space="preserve">                               </w:t>
      </w:r>
      <w:r>
        <w:rPr>
          <w:rFonts w:hint="cs"/>
          <w:rtl/>
        </w:rPr>
        <w:t>פ/5659/20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4F81965E" w:rsidR="00E13C27" w:rsidRDefault="00074BDD" w:rsidP="00681A40">
      <w:pPr>
        <w:pStyle w:val="HeadHatzaotHok"/>
        <w:rPr>
          <w:rtl/>
        </w:rPr>
      </w:pPr>
      <w:bookmarkStart w:id="7" w:name="LGS_Subject"/>
      <w:r>
        <w:rPr>
          <w:rFonts w:hint="cs"/>
          <w:rtl/>
        </w:rPr>
        <w:t>הצעת חוק איסור עריכת טורניר פוקר ללא רישיון, התשע"ח–2018</w:t>
      </w:r>
      <w:bookmarkEnd w:id="7"/>
    </w:p>
    <w:p w14:paraId="0BF8685E" w14:textId="77777777" w:rsidR="00C22C45" w:rsidRPr="00F67051" w:rsidRDefault="00C22C45" w:rsidP="00681A40">
      <w:pPr>
        <w:pStyle w:val="HeadHatzaotHok"/>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3B705A" w14:paraId="1F88C45D" w14:textId="77777777" w:rsidTr="008E11DF">
        <w:trPr>
          <w:cantSplit/>
          <w:trHeight w:val="60"/>
        </w:trPr>
        <w:tc>
          <w:tcPr>
            <w:tcW w:w="1871" w:type="dxa"/>
          </w:tcPr>
          <w:p w14:paraId="1B9F577B" w14:textId="0FD04736" w:rsidR="003B705A" w:rsidRDefault="003B705A" w:rsidP="003B705A">
            <w:pPr>
              <w:pStyle w:val="TableSideHeading"/>
              <w:keepLines w:val="0"/>
              <w:rPr>
                <w:rtl/>
              </w:rPr>
            </w:pPr>
            <w:r>
              <w:rPr>
                <w:rFonts w:hint="cs"/>
                <w:rtl/>
              </w:rPr>
              <w:t>הכרה בהתאחדות</w:t>
            </w:r>
          </w:p>
        </w:tc>
        <w:tc>
          <w:tcPr>
            <w:tcW w:w="624" w:type="dxa"/>
          </w:tcPr>
          <w:p w14:paraId="4AEBD7AF" w14:textId="444893EC" w:rsidR="003B705A" w:rsidRDefault="003B705A" w:rsidP="00B611A7">
            <w:pPr>
              <w:pStyle w:val="TableText"/>
              <w:rPr>
                <w:rtl/>
              </w:rPr>
            </w:pPr>
            <w:r>
              <w:rPr>
                <w:rFonts w:hint="cs"/>
                <w:rtl/>
              </w:rPr>
              <w:t>1.</w:t>
            </w:r>
          </w:p>
        </w:tc>
        <w:tc>
          <w:tcPr>
            <w:tcW w:w="7146" w:type="dxa"/>
            <w:gridSpan w:val="2"/>
          </w:tcPr>
          <w:p w14:paraId="54BE31C9" w14:textId="045B95A0" w:rsidR="003B705A" w:rsidRPr="00C22C45" w:rsidRDefault="003B705A" w:rsidP="00AD7941">
            <w:pPr>
              <w:pStyle w:val="TableBlock"/>
              <w:rPr>
                <w:rtl/>
              </w:rPr>
            </w:pPr>
            <w:r w:rsidRPr="00C22C45">
              <w:rPr>
                <w:rFonts w:hint="cs"/>
                <w:rtl/>
              </w:rPr>
              <w:t>(א)</w:t>
            </w:r>
            <w:r w:rsidRPr="00C22C45">
              <w:rPr>
                <w:rtl/>
              </w:rPr>
              <w:tab/>
            </w:r>
            <w:r w:rsidR="00AD7941">
              <w:rPr>
                <w:rFonts w:hint="cs"/>
                <w:rtl/>
              </w:rPr>
              <w:t xml:space="preserve">שר התרבות והספורט (להלן </w:t>
            </w:r>
            <w:r w:rsidR="00AD7941">
              <w:rPr>
                <w:rtl/>
              </w:rPr>
              <w:t>–</w:t>
            </w:r>
            <w:r w:rsidR="00AD7941">
              <w:rPr>
                <w:rFonts w:hint="cs"/>
                <w:rtl/>
              </w:rPr>
              <w:t xml:space="preserve"> השר)</w:t>
            </w:r>
            <w:r w:rsidRPr="00C22C45">
              <w:rPr>
                <w:rtl/>
              </w:rPr>
              <w:t xml:space="preserve"> רשאי להכיר בתאגיד שלא למטרות רווח, כהתאחדות המרכזת והמייצגת תחום, אחד או יותר, בענף </w:t>
            </w:r>
            <w:r>
              <w:rPr>
                <w:rFonts w:hint="cs"/>
                <w:rtl/>
              </w:rPr>
              <w:t>הפוקר</w:t>
            </w:r>
            <w:r w:rsidRPr="00C22C45">
              <w:rPr>
                <w:rtl/>
              </w:rPr>
              <w:t>.</w:t>
            </w:r>
          </w:p>
        </w:tc>
      </w:tr>
      <w:tr w:rsidR="003B705A" w14:paraId="0C46D146" w14:textId="77777777" w:rsidTr="008E11DF">
        <w:trPr>
          <w:cantSplit/>
          <w:trHeight w:val="60"/>
        </w:trPr>
        <w:tc>
          <w:tcPr>
            <w:tcW w:w="1871" w:type="dxa"/>
          </w:tcPr>
          <w:p w14:paraId="0B75A3C1" w14:textId="77777777" w:rsidR="003B705A" w:rsidRDefault="003B705A" w:rsidP="003B705A">
            <w:pPr>
              <w:pStyle w:val="TableSideHeading"/>
              <w:keepLines w:val="0"/>
              <w:rPr>
                <w:rtl/>
              </w:rPr>
            </w:pPr>
          </w:p>
        </w:tc>
        <w:tc>
          <w:tcPr>
            <w:tcW w:w="624" w:type="dxa"/>
          </w:tcPr>
          <w:p w14:paraId="3B17CB0D" w14:textId="77777777" w:rsidR="003B705A" w:rsidRDefault="003B705A" w:rsidP="003B705A">
            <w:pPr>
              <w:pStyle w:val="TableText"/>
              <w:rPr>
                <w:rtl/>
              </w:rPr>
            </w:pPr>
          </w:p>
        </w:tc>
        <w:tc>
          <w:tcPr>
            <w:tcW w:w="7146" w:type="dxa"/>
            <w:gridSpan w:val="2"/>
          </w:tcPr>
          <w:p w14:paraId="1AD58472" w14:textId="088B5E43" w:rsidR="003B705A" w:rsidRPr="00C22C45" w:rsidRDefault="003B705A" w:rsidP="003B705A">
            <w:pPr>
              <w:pStyle w:val="TableBlock"/>
              <w:rPr>
                <w:rtl/>
              </w:rPr>
            </w:pPr>
            <w:r>
              <w:rPr>
                <w:rFonts w:hint="cs"/>
                <w:rtl/>
              </w:rPr>
              <w:t>(ב)</w:t>
            </w:r>
            <w:r>
              <w:rPr>
                <w:rtl/>
              </w:rPr>
              <w:tab/>
            </w:r>
            <w:r w:rsidRPr="00776674">
              <w:rPr>
                <w:rtl/>
              </w:rPr>
              <w:t>השר יקבע תנאים להכרה בהתאחדות לפי סעיף זה, לרבות תנאים לעני</w:t>
            </w:r>
            <w:r>
              <w:rPr>
                <w:rFonts w:hint="cs"/>
                <w:rtl/>
              </w:rPr>
              <w:t>י</w:t>
            </w:r>
            <w:r w:rsidRPr="00776674">
              <w:rPr>
                <w:rtl/>
              </w:rPr>
              <w:t xml:space="preserve">ן יכולתה הארגונית, הכספית והמקצועית של ההתאחדות, הנדרשים לצורך מילוי תפקידיה </w:t>
            </w:r>
            <w:r w:rsidR="004C0FC8">
              <w:rPr>
                <w:rtl/>
              </w:rPr>
              <w:t>לפי חוק ז</w:t>
            </w:r>
            <w:r w:rsidR="004C0FC8">
              <w:rPr>
                <w:rFonts w:hint="cs"/>
                <w:rtl/>
              </w:rPr>
              <w:t>ה</w:t>
            </w:r>
            <w:r w:rsidRPr="00776674">
              <w:rPr>
                <w:rtl/>
              </w:rPr>
              <w:t>.</w:t>
            </w:r>
          </w:p>
        </w:tc>
      </w:tr>
      <w:tr w:rsidR="003B705A" w14:paraId="4A8CE9ED" w14:textId="77777777" w:rsidTr="008E11DF">
        <w:trPr>
          <w:cantSplit/>
          <w:trHeight w:val="60"/>
        </w:trPr>
        <w:tc>
          <w:tcPr>
            <w:tcW w:w="1871" w:type="dxa"/>
          </w:tcPr>
          <w:p w14:paraId="4D908F62" w14:textId="4CE2B1F9" w:rsidR="003B705A" w:rsidRDefault="003B705A" w:rsidP="003B705A">
            <w:pPr>
              <w:pStyle w:val="TableSideHeading"/>
              <w:keepLines w:val="0"/>
              <w:rPr>
                <w:rtl/>
              </w:rPr>
            </w:pPr>
            <w:r>
              <w:rPr>
                <w:rFonts w:hint="cs"/>
                <w:rtl/>
              </w:rPr>
              <w:t>רישיון לקיום טורניר פוקר</w:t>
            </w:r>
          </w:p>
        </w:tc>
        <w:tc>
          <w:tcPr>
            <w:tcW w:w="624" w:type="dxa"/>
          </w:tcPr>
          <w:p w14:paraId="3DD98103" w14:textId="2FD276B3" w:rsidR="003B705A" w:rsidRDefault="003B705A" w:rsidP="003B705A">
            <w:pPr>
              <w:pStyle w:val="TableText"/>
              <w:rPr>
                <w:rtl/>
              </w:rPr>
            </w:pPr>
            <w:r>
              <w:rPr>
                <w:rFonts w:hint="cs"/>
                <w:rtl/>
              </w:rPr>
              <w:t>2.</w:t>
            </w:r>
          </w:p>
        </w:tc>
        <w:tc>
          <w:tcPr>
            <w:tcW w:w="7146" w:type="dxa"/>
            <w:gridSpan w:val="2"/>
          </w:tcPr>
          <w:p w14:paraId="5C3724D5" w14:textId="2B09A310" w:rsidR="003B705A" w:rsidRPr="003B705A" w:rsidRDefault="003B705A" w:rsidP="003B705A">
            <w:pPr>
              <w:pStyle w:val="TableBlock"/>
              <w:rPr>
                <w:rtl/>
              </w:rPr>
            </w:pPr>
            <w:r w:rsidRPr="003B705A">
              <w:rPr>
                <w:rFonts w:hint="cs"/>
                <w:rtl/>
              </w:rPr>
              <w:t>(א)</w:t>
            </w:r>
            <w:r w:rsidRPr="003B705A">
              <w:rPr>
                <w:rtl/>
              </w:rPr>
              <w:tab/>
            </w:r>
            <w:r w:rsidRPr="00B611A7">
              <w:rPr>
                <w:rtl/>
              </w:rPr>
              <w:t xml:space="preserve">לא יקיים אדם ולא ינהל, בין בעצמו ובין באמצעות אחר, </w:t>
            </w:r>
            <w:r>
              <w:rPr>
                <w:rFonts w:hint="cs"/>
                <w:rtl/>
              </w:rPr>
              <w:t>טורניר פוקר</w:t>
            </w:r>
            <w:r w:rsidRPr="00B611A7">
              <w:rPr>
                <w:rtl/>
              </w:rPr>
              <w:t>, אלא ברישיון לפי סעיף זה ובהתאם לתנאיו.</w:t>
            </w:r>
          </w:p>
        </w:tc>
      </w:tr>
      <w:tr w:rsidR="003B705A" w14:paraId="6530C8B8" w14:textId="77777777" w:rsidTr="008E11DF">
        <w:trPr>
          <w:cantSplit/>
          <w:trHeight w:val="60"/>
        </w:trPr>
        <w:tc>
          <w:tcPr>
            <w:tcW w:w="1871" w:type="dxa"/>
          </w:tcPr>
          <w:p w14:paraId="71D2C8B3" w14:textId="77777777" w:rsidR="003B705A" w:rsidRDefault="003B705A" w:rsidP="003B705A">
            <w:pPr>
              <w:pStyle w:val="TableSideHeading"/>
              <w:keepLines w:val="0"/>
              <w:rPr>
                <w:rtl/>
              </w:rPr>
            </w:pPr>
          </w:p>
        </w:tc>
        <w:tc>
          <w:tcPr>
            <w:tcW w:w="624" w:type="dxa"/>
          </w:tcPr>
          <w:p w14:paraId="3E6A75FC" w14:textId="77777777" w:rsidR="003B705A" w:rsidRDefault="003B705A" w:rsidP="003B705A">
            <w:pPr>
              <w:pStyle w:val="TableText"/>
              <w:rPr>
                <w:rtl/>
              </w:rPr>
            </w:pPr>
          </w:p>
        </w:tc>
        <w:tc>
          <w:tcPr>
            <w:tcW w:w="7146" w:type="dxa"/>
            <w:gridSpan w:val="2"/>
          </w:tcPr>
          <w:p w14:paraId="153D213C" w14:textId="4FB76FBF" w:rsidR="003B705A" w:rsidRPr="003B705A" w:rsidRDefault="003B705A" w:rsidP="004C0FC8">
            <w:pPr>
              <w:pStyle w:val="TableBlock"/>
              <w:rPr>
                <w:rtl/>
              </w:rPr>
            </w:pPr>
            <w:r w:rsidRPr="003B705A">
              <w:rPr>
                <w:rFonts w:hint="cs"/>
                <w:rtl/>
              </w:rPr>
              <w:t>(ב)</w:t>
            </w:r>
            <w:r w:rsidRPr="003B705A">
              <w:rPr>
                <w:rtl/>
              </w:rPr>
              <w:tab/>
            </w:r>
            <w:r w:rsidR="004C0FC8">
              <w:rPr>
                <w:rFonts w:hint="cs"/>
                <w:rtl/>
              </w:rPr>
              <w:t>השר או מי שהסמיכו לכך</w:t>
            </w:r>
            <w:r w:rsidR="004C0FC8">
              <w:rPr>
                <w:rtl/>
              </w:rPr>
              <w:t xml:space="preserve"> לא </w:t>
            </w:r>
            <w:r w:rsidRPr="00B611A7">
              <w:rPr>
                <w:rtl/>
              </w:rPr>
              <w:t>י</w:t>
            </w:r>
            <w:r w:rsidR="004C0FC8">
              <w:rPr>
                <w:rFonts w:hint="cs"/>
                <w:rtl/>
              </w:rPr>
              <w:t>י</w:t>
            </w:r>
            <w:r w:rsidRPr="00B611A7">
              <w:rPr>
                <w:rtl/>
              </w:rPr>
              <w:t xml:space="preserve">תן רישיון לקיום </w:t>
            </w:r>
            <w:r>
              <w:rPr>
                <w:rFonts w:hint="cs"/>
                <w:rtl/>
              </w:rPr>
              <w:t>טורניר פוקר</w:t>
            </w:r>
            <w:r w:rsidR="004C0FC8">
              <w:rPr>
                <w:rFonts w:hint="cs"/>
                <w:rtl/>
              </w:rPr>
              <w:t xml:space="preserve"> אלא להתאחדות</w:t>
            </w:r>
            <w:r w:rsidR="006449BC">
              <w:rPr>
                <w:rFonts w:hint="cs"/>
                <w:rtl/>
              </w:rPr>
              <w:t>,</w:t>
            </w:r>
            <w:r w:rsidR="004C2219">
              <w:rPr>
                <w:rFonts w:hint="cs"/>
                <w:rtl/>
              </w:rPr>
              <w:t xml:space="preserve"> ובלבד שכל המשתתפים בטורניר יהיו חברים רשומים בהתאחדות</w:t>
            </w:r>
            <w:r w:rsidR="004C0FC8">
              <w:rPr>
                <w:rFonts w:hint="cs"/>
                <w:rtl/>
              </w:rPr>
              <w:t>.</w:t>
            </w:r>
          </w:p>
        </w:tc>
      </w:tr>
      <w:tr w:rsidR="003B705A" w14:paraId="065664E1" w14:textId="77777777" w:rsidTr="008E11DF">
        <w:trPr>
          <w:cantSplit/>
          <w:trHeight w:val="60"/>
        </w:trPr>
        <w:tc>
          <w:tcPr>
            <w:tcW w:w="1871" w:type="dxa"/>
          </w:tcPr>
          <w:p w14:paraId="72B9B919" w14:textId="77777777" w:rsidR="003B705A" w:rsidRDefault="003B705A" w:rsidP="003B705A">
            <w:pPr>
              <w:pStyle w:val="TableSideHeading"/>
              <w:keepLines w:val="0"/>
              <w:rPr>
                <w:rtl/>
              </w:rPr>
            </w:pPr>
          </w:p>
        </w:tc>
        <w:tc>
          <w:tcPr>
            <w:tcW w:w="624" w:type="dxa"/>
          </w:tcPr>
          <w:p w14:paraId="59FEF5C8" w14:textId="77777777" w:rsidR="003B705A" w:rsidRDefault="003B705A" w:rsidP="003B705A">
            <w:pPr>
              <w:pStyle w:val="TableText"/>
              <w:rPr>
                <w:rtl/>
              </w:rPr>
            </w:pPr>
          </w:p>
        </w:tc>
        <w:tc>
          <w:tcPr>
            <w:tcW w:w="7146" w:type="dxa"/>
            <w:gridSpan w:val="2"/>
          </w:tcPr>
          <w:p w14:paraId="2527E3AF" w14:textId="008B3DC2" w:rsidR="003B705A" w:rsidRDefault="00D57145" w:rsidP="00F26CB8">
            <w:pPr>
              <w:pStyle w:val="TableBlock"/>
              <w:rPr>
                <w:rtl/>
              </w:rPr>
            </w:pPr>
            <w:r>
              <w:rPr>
                <w:rFonts w:hint="cs"/>
                <w:rtl/>
              </w:rPr>
              <w:t>(ג)</w:t>
            </w:r>
            <w:r>
              <w:rPr>
                <w:rtl/>
              </w:rPr>
              <w:tab/>
            </w:r>
            <w:r w:rsidR="004C0FC8">
              <w:rPr>
                <w:rFonts w:hint="cs"/>
                <w:rtl/>
              </w:rPr>
              <w:t>השר או מי שהסמיכו לכך</w:t>
            </w:r>
            <w:r w:rsidR="004C0FC8" w:rsidRPr="00B611A7">
              <w:rPr>
                <w:rtl/>
              </w:rPr>
              <w:t xml:space="preserve"> </w:t>
            </w:r>
            <w:r w:rsidR="004C0FC8">
              <w:rPr>
                <w:rtl/>
              </w:rPr>
              <w:t>רשאי</w:t>
            </w:r>
            <w:r w:rsidRPr="00D57145">
              <w:rPr>
                <w:rtl/>
              </w:rPr>
              <w:t xml:space="preserve"> לקבוע תנאים למתן רישיון לקיום </w:t>
            </w:r>
            <w:r>
              <w:rPr>
                <w:rFonts w:hint="cs"/>
                <w:rtl/>
              </w:rPr>
              <w:t>טורניר פוקר</w:t>
            </w:r>
            <w:r w:rsidRPr="00D57145">
              <w:rPr>
                <w:rtl/>
              </w:rPr>
              <w:t xml:space="preserve"> לפי סעיף</w:t>
            </w:r>
            <w:r w:rsidR="004C0FC8">
              <w:rPr>
                <w:rFonts w:hint="cs"/>
                <w:rtl/>
              </w:rPr>
              <w:t xml:space="preserve"> זה</w:t>
            </w:r>
            <w:r w:rsidRPr="00D57145">
              <w:rPr>
                <w:rtl/>
              </w:rPr>
              <w:t>, בין השאר, בעני</w:t>
            </w:r>
            <w:r>
              <w:rPr>
                <w:rFonts w:hint="cs"/>
                <w:rtl/>
              </w:rPr>
              <w:t>י</w:t>
            </w:r>
            <w:r w:rsidR="00F26CB8">
              <w:rPr>
                <w:rtl/>
              </w:rPr>
              <w:t>נים אל</w:t>
            </w:r>
            <w:r w:rsidR="00F26CB8">
              <w:rPr>
                <w:rFonts w:hint="cs"/>
                <w:rtl/>
              </w:rPr>
              <w:t>ה</w:t>
            </w:r>
            <w:r w:rsidRPr="00D57145">
              <w:rPr>
                <w:rtl/>
              </w:rPr>
              <w:t>:</w:t>
            </w:r>
          </w:p>
        </w:tc>
      </w:tr>
      <w:tr w:rsidR="00D57145" w14:paraId="375C4E2A" w14:textId="77777777">
        <w:trPr>
          <w:cantSplit/>
          <w:trHeight w:val="60"/>
        </w:trPr>
        <w:tc>
          <w:tcPr>
            <w:tcW w:w="1871" w:type="dxa"/>
          </w:tcPr>
          <w:p w14:paraId="17ECAF6B" w14:textId="77777777" w:rsidR="00D57145" w:rsidRDefault="00D57145">
            <w:pPr>
              <w:pStyle w:val="TableSideHeading"/>
            </w:pPr>
          </w:p>
        </w:tc>
        <w:tc>
          <w:tcPr>
            <w:tcW w:w="624" w:type="dxa"/>
          </w:tcPr>
          <w:p w14:paraId="6E1248AD" w14:textId="77777777" w:rsidR="00D57145" w:rsidRDefault="00D57145">
            <w:pPr>
              <w:pStyle w:val="TableText"/>
            </w:pPr>
          </w:p>
        </w:tc>
        <w:tc>
          <w:tcPr>
            <w:tcW w:w="624" w:type="dxa"/>
          </w:tcPr>
          <w:p w14:paraId="4E7B0683" w14:textId="77777777" w:rsidR="00D57145" w:rsidRDefault="00D57145">
            <w:pPr>
              <w:pStyle w:val="TableText"/>
            </w:pPr>
          </w:p>
        </w:tc>
        <w:tc>
          <w:tcPr>
            <w:tcW w:w="6522" w:type="dxa"/>
          </w:tcPr>
          <w:p w14:paraId="60B5BE8F" w14:textId="3F0DDFE2" w:rsidR="00D57145" w:rsidRDefault="00D57145" w:rsidP="004C0FC8">
            <w:pPr>
              <w:pStyle w:val="TableBlock"/>
            </w:pPr>
            <w:r>
              <w:rPr>
                <w:rFonts w:hint="cs"/>
                <w:rtl/>
              </w:rPr>
              <w:t>(1)</w:t>
            </w:r>
            <w:r>
              <w:rPr>
                <w:rtl/>
              </w:rPr>
              <w:tab/>
            </w:r>
            <w:r w:rsidRPr="00D57145">
              <w:rPr>
                <w:rtl/>
              </w:rPr>
              <w:t>קיומם של סידורים נאותים, הדרושים להנחת דעת</w:t>
            </w:r>
            <w:r w:rsidR="004C0FC8">
              <w:rPr>
                <w:rFonts w:hint="cs"/>
                <w:rtl/>
              </w:rPr>
              <w:t>ו</w:t>
            </w:r>
            <w:r w:rsidRPr="00D57145">
              <w:rPr>
                <w:rtl/>
              </w:rPr>
              <w:t xml:space="preserve">, לשם קיום </w:t>
            </w:r>
            <w:r>
              <w:rPr>
                <w:rFonts w:hint="cs"/>
                <w:rtl/>
              </w:rPr>
              <w:t>טורניר הפוקר</w:t>
            </w:r>
            <w:r w:rsidRPr="00D57145">
              <w:rPr>
                <w:rtl/>
              </w:rPr>
              <w:t xml:space="preserve"> וניהולו;</w:t>
            </w:r>
          </w:p>
        </w:tc>
      </w:tr>
      <w:tr w:rsidR="00D57145" w14:paraId="17F4603C" w14:textId="77777777">
        <w:trPr>
          <w:cantSplit/>
          <w:trHeight w:val="60"/>
        </w:trPr>
        <w:tc>
          <w:tcPr>
            <w:tcW w:w="1871" w:type="dxa"/>
          </w:tcPr>
          <w:p w14:paraId="55C84196" w14:textId="77777777" w:rsidR="00D57145" w:rsidRDefault="00D57145">
            <w:pPr>
              <w:pStyle w:val="TableSideHeading"/>
            </w:pPr>
          </w:p>
        </w:tc>
        <w:tc>
          <w:tcPr>
            <w:tcW w:w="624" w:type="dxa"/>
          </w:tcPr>
          <w:p w14:paraId="7E88F97F" w14:textId="77777777" w:rsidR="00D57145" w:rsidRDefault="00D57145" w:rsidP="00D57145">
            <w:pPr>
              <w:pStyle w:val="TableText"/>
            </w:pPr>
          </w:p>
        </w:tc>
        <w:tc>
          <w:tcPr>
            <w:tcW w:w="624" w:type="dxa"/>
          </w:tcPr>
          <w:p w14:paraId="67D86D74" w14:textId="77777777" w:rsidR="00D57145" w:rsidRDefault="00D57145">
            <w:pPr>
              <w:pStyle w:val="TableText"/>
            </w:pPr>
          </w:p>
        </w:tc>
        <w:tc>
          <w:tcPr>
            <w:tcW w:w="6522" w:type="dxa"/>
          </w:tcPr>
          <w:p w14:paraId="74EBDFC4" w14:textId="273B89BD" w:rsidR="00D57145" w:rsidRDefault="00D57145" w:rsidP="00D57145">
            <w:pPr>
              <w:pStyle w:val="TableBlock"/>
              <w:rPr>
                <w:rtl/>
              </w:rPr>
            </w:pPr>
            <w:r>
              <w:rPr>
                <w:rFonts w:hint="cs"/>
                <w:rtl/>
              </w:rPr>
              <w:t>(2)</w:t>
            </w:r>
            <w:r>
              <w:rPr>
                <w:rtl/>
              </w:rPr>
              <w:tab/>
            </w:r>
            <w:r>
              <w:rPr>
                <w:rFonts w:hint="cs"/>
                <w:rtl/>
              </w:rPr>
              <w:t>גילאי המשתתפים בטורניר;</w:t>
            </w:r>
          </w:p>
        </w:tc>
      </w:tr>
      <w:tr w:rsidR="00D57145" w14:paraId="52ECAA61" w14:textId="77777777">
        <w:trPr>
          <w:cantSplit/>
          <w:trHeight w:val="60"/>
        </w:trPr>
        <w:tc>
          <w:tcPr>
            <w:tcW w:w="1871" w:type="dxa"/>
          </w:tcPr>
          <w:p w14:paraId="72CC888F" w14:textId="77777777" w:rsidR="00D57145" w:rsidRDefault="00D57145">
            <w:pPr>
              <w:pStyle w:val="TableSideHeading"/>
            </w:pPr>
          </w:p>
        </w:tc>
        <w:tc>
          <w:tcPr>
            <w:tcW w:w="624" w:type="dxa"/>
          </w:tcPr>
          <w:p w14:paraId="2B9FBB8E" w14:textId="77777777" w:rsidR="00D57145" w:rsidRDefault="00D57145" w:rsidP="00D57145">
            <w:pPr>
              <w:pStyle w:val="TableText"/>
            </w:pPr>
          </w:p>
        </w:tc>
        <w:tc>
          <w:tcPr>
            <w:tcW w:w="624" w:type="dxa"/>
          </w:tcPr>
          <w:p w14:paraId="29EAF5C1" w14:textId="77777777" w:rsidR="00D57145" w:rsidRDefault="00D57145">
            <w:pPr>
              <w:pStyle w:val="TableText"/>
            </w:pPr>
          </w:p>
        </w:tc>
        <w:tc>
          <w:tcPr>
            <w:tcW w:w="6522" w:type="dxa"/>
          </w:tcPr>
          <w:p w14:paraId="35E2A54F" w14:textId="5F6A0D0E" w:rsidR="00D57145" w:rsidRDefault="00D57145" w:rsidP="007A2909">
            <w:pPr>
              <w:pStyle w:val="TableBlock"/>
              <w:rPr>
                <w:rtl/>
              </w:rPr>
            </w:pPr>
            <w:r>
              <w:rPr>
                <w:rFonts w:hint="cs"/>
                <w:rtl/>
              </w:rPr>
              <w:t>(3)</w:t>
            </w:r>
            <w:r>
              <w:rPr>
                <w:rtl/>
              </w:rPr>
              <w:tab/>
            </w:r>
            <w:r>
              <w:rPr>
                <w:rFonts w:hint="cs"/>
                <w:rtl/>
              </w:rPr>
              <w:t xml:space="preserve">דמי השתתפות </w:t>
            </w:r>
            <w:r w:rsidR="007A2909">
              <w:rPr>
                <w:rFonts w:hint="cs"/>
                <w:rtl/>
              </w:rPr>
              <w:t xml:space="preserve">אחידים </w:t>
            </w:r>
            <w:r w:rsidR="00F26CB8">
              <w:rPr>
                <w:rFonts w:hint="cs"/>
                <w:rtl/>
              </w:rPr>
              <w:t>והגבלה לעניין הוספה על דמי ההשתתפות שעה שהטורניר החל</w:t>
            </w:r>
            <w:r>
              <w:rPr>
                <w:rFonts w:hint="cs"/>
                <w:rtl/>
              </w:rPr>
              <w:t>;</w:t>
            </w:r>
          </w:p>
        </w:tc>
      </w:tr>
      <w:tr w:rsidR="00D57145" w14:paraId="353489E1" w14:textId="77777777">
        <w:trPr>
          <w:cantSplit/>
          <w:trHeight w:val="60"/>
        </w:trPr>
        <w:tc>
          <w:tcPr>
            <w:tcW w:w="1871" w:type="dxa"/>
          </w:tcPr>
          <w:p w14:paraId="67756D69" w14:textId="77777777" w:rsidR="00D57145" w:rsidRDefault="00D57145">
            <w:pPr>
              <w:pStyle w:val="TableSideHeading"/>
            </w:pPr>
          </w:p>
        </w:tc>
        <w:tc>
          <w:tcPr>
            <w:tcW w:w="624" w:type="dxa"/>
          </w:tcPr>
          <w:p w14:paraId="1EF33C06" w14:textId="77777777" w:rsidR="00D57145" w:rsidRDefault="00D57145" w:rsidP="00D57145">
            <w:pPr>
              <w:pStyle w:val="TableText"/>
            </w:pPr>
          </w:p>
        </w:tc>
        <w:tc>
          <w:tcPr>
            <w:tcW w:w="624" w:type="dxa"/>
          </w:tcPr>
          <w:p w14:paraId="745274B7" w14:textId="77777777" w:rsidR="00D57145" w:rsidRDefault="00D57145">
            <w:pPr>
              <w:pStyle w:val="TableText"/>
            </w:pPr>
          </w:p>
        </w:tc>
        <w:tc>
          <w:tcPr>
            <w:tcW w:w="6522" w:type="dxa"/>
          </w:tcPr>
          <w:p w14:paraId="1A5475B6" w14:textId="1BC0201F" w:rsidR="00D57145" w:rsidRDefault="00D57145" w:rsidP="00D57145">
            <w:pPr>
              <w:pStyle w:val="TableBlock"/>
              <w:rPr>
                <w:rtl/>
              </w:rPr>
            </w:pPr>
            <w:r>
              <w:rPr>
                <w:rFonts w:hint="cs"/>
                <w:rtl/>
              </w:rPr>
              <w:t>(4)</w:t>
            </w:r>
            <w:r>
              <w:rPr>
                <w:rtl/>
              </w:rPr>
              <w:tab/>
            </w:r>
            <w:r>
              <w:rPr>
                <w:rFonts w:hint="cs"/>
                <w:rtl/>
              </w:rPr>
              <w:t>חישוב סכום הזכייה בטורניר;</w:t>
            </w:r>
          </w:p>
        </w:tc>
      </w:tr>
      <w:tr w:rsidR="00D57145" w14:paraId="4759CB83" w14:textId="77777777">
        <w:trPr>
          <w:cantSplit/>
          <w:trHeight w:val="60"/>
        </w:trPr>
        <w:tc>
          <w:tcPr>
            <w:tcW w:w="1871" w:type="dxa"/>
          </w:tcPr>
          <w:p w14:paraId="21C62AF1" w14:textId="77777777" w:rsidR="00D57145" w:rsidRDefault="00D57145">
            <w:pPr>
              <w:pStyle w:val="TableSideHeading"/>
            </w:pPr>
          </w:p>
        </w:tc>
        <w:tc>
          <w:tcPr>
            <w:tcW w:w="624" w:type="dxa"/>
          </w:tcPr>
          <w:p w14:paraId="4A6A2802" w14:textId="77777777" w:rsidR="00D57145" w:rsidRDefault="00D57145" w:rsidP="00D57145">
            <w:pPr>
              <w:pStyle w:val="TableText"/>
            </w:pPr>
          </w:p>
        </w:tc>
        <w:tc>
          <w:tcPr>
            <w:tcW w:w="624" w:type="dxa"/>
          </w:tcPr>
          <w:p w14:paraId="658DA100" w14:textId="77777777" w:rsidR="00D57145" w:rsidRDefault="00D57145">
            <w:pPr>
              <w:pStyle w:val="TableText"/>
            </w:pPr>
          </w:p>
        </w:tc>
        <w:tc>
          <w:tcPr>
            <w:tcW w:w="6522" w:type="dxa"/>
          </w:tcPr>
          <w:p w14:paraId="056679C2" w14:textId="6D877D96" w:rsidR="00D57145" w:rsidRDefault="00D57145" w:rsidP="00D57145">
            <w:pPr>
              <w:pStyle w:val="TableBlock"/>
              <w:rPr>
                <w:rtl/>
              </w:rPr>
            </w:pPr>
            <w:r>
              <w:rPr>
                <w:rFonts w:hint="cs"/>
                <w:rtl/>
              </w:rPr>
              <w:t>(5)</w:t>
            </w:r>
            <w:r>
              <w:rPr>
                <w:rtl/>
              </w:rPr>
              <w:tab/>
            </w:r>
            <w:r>
              <w:rPr>
                <w:rFonts w:hint="cs"/>
                <w:rtl/>
              </w:rPr>
              <w:t>מועדי הטורנירים ומיקומם</w:t>
            </w:r>
            <w:r w:rsidR="00916BC1">
              <w:rPr>
                <w:rFonts w:hint="cs"/>
                <w:rtl/>
              </w:rPr>
              <w:t xml:space="preserve"> </w:t>
            </w:r>
            <w:r w:rsidR="006449BC">
              <w:rPr>
                <w:rtl/>
              </w:rPr>
              <w:t>–</w:t>
            </w:r>
            <w:r w:rsidR="006449BC">
              <w:rPr>
                <w:rFonts w:hint="cs"/>
                <w:rtl/>
              </w:rPr>
              <w:t xml:space="preserve"> </w:t>
            </w:r>
            <w:r w:rsidR="00916BC1">
              <w:rPr>
                <w:rFonts w:hint="cs"/>
                <w:rtl/>
              </w:rPr>
              <w:t xml:space="preserve">בהתייעצות עם שר התיירות; </w:t>
            </w:r>
          </w:p>
        </w:tc>
      </w:tr>
      <w:tr w:rsidR="00D57145" w14:paraId="19357EA3" w14:textId="77777777">
        <w:trPr>
          <w:cantSplit/>
          <w:trHeight w:val="60"/>
        </w:trPr>
        <w:tc>
          <w:tcPr>
            <w:tcW w:w="1871" w:type="dxa"/>
          </w:tcPr>
          <w:p w14:paraId="00EFC580" w14:textId="77777777" w:rsidR="00D57145" w:rsidRDefault="00D57145">
            <w:pPr>
              <w:pStyle w:val="TableSideHeading"/>
            </w:pPr>
          </w:p>
        </w:tc>
        <w:tc>
          <w:tcPr>
            <w:tcW w:w="624" w:type="dxa"/>
          </w:tcPr>
          <w:p w14:paraId="09786FFB" w14:textId="77777777" w:rsidR="00D57145" w:rsidRDefault="00D57145" w:rsidP="00D57145">
            <w:pPr>
              <w:pStyle w:val="TableText"/>
            </w:pPr>
          </w:p>
        </w:tc>
        <w:tc>
          <w:tcPr>
            <w:tcW w:w="624" w:type="dxa"/>
          </w:tcPr>
          <w:p w14:paraId="6C6CB7AA" w14:textId="77777777" w:rsidR="00D57145" w:rsidRDefault="00D57145">
            <w:pPr>
              <w:pStyle w:val="TableText"/>
            </w:pPr>
          </w:p>
        </w:tc>
        <w:tc>
          <w:tcPr>
            <w:tcW w:w="6522" w:type="dxa"/>
          </w:tcPr>
          <w:p w14:paraId="21CEE50A" w14:textId="7693EDED" w:rsidR="00D57145" w:rsidRDefault="00D57145" w:rsidP="006449BC">
            <w:pPr>
              <w:pStyle w:val="TableBlock"/>
              <w:rPr>
                <w:rtl/>
              </w:rPr>
            </w:pPr>
            <w:r>
              <w:rPr>
                <w:rFonts w:hint="cs"/>
                <w:rtl/>
              </w:rPr>
              <w:t>(6)</w:t>
            </w:r>
            <w:r>
              <w:rPr>
                <w:rtl/>
              </w:rPr>
              <w:tab/>
            </w:r>
            <w:r w:rsidRPr="00D57145">
              <w:rPr>
                <w:rtl/>
              </w:rPr>
              <w:t xml:space="preserve">כל תנאי אחר הנדרש לדעת </w:t>
            </w:r>
            <w:r w:rsidR="006449BC">
              <w:rPr>
                <w:rFonts w:hint="cs"/>
                <w:rtl/>
              </w:rPr>
              <w:t>השר או מי שהסמיכו לכך</w:t>
            </w:r>
            <w:r w:rsidRPr="00D57145">
              <w:rPr>
                <w:rtl/>
              </w:rPr>
              <w:t xml:space="preserve"> לצורך ניהולו התקין של </w:t>
            </w:r>
            <w:r>
              <w:rPr>
                <w:rFonts w:hint="cs"/>
                <w:rtl/>
              </w:rPr>
              <w:t>טורניר הפוקר</w:t>
            </w:r>
            <w:r w:rsidR="00550760">
              <w:rPr>
                <w:rFonts w:hint="cs"/>
                <w:rtl/>
              </w:rPr>
              <w:t>.</w:t>
            </w:r>
          </w:p>
        </w:tc>
      </w:tr>
      <w:tr w:rsidR="003B705A" w14:paraId="5D12D3A0" w14:textId="77777777" w:rsidTr="008E11DF">
        <w:trPr>
          <w:cantSplit/>
          <w:trHeight w:val="60"/>
        </w:trPr>
        <w:tc>
          <w:tcPr>
            <w:tcW w:w="1871" w:type="dxa"/>
          </w:tcPr>
          <w:p w14:paraId="1826795F" w14:textId="77777777" w:rsidR="003B705A" w:rsidRDefault="003B705A" w:rsidP="003B705A">
            <w:pPr>
              <w:pStyle w:val="TableSideHeading"/>
              <w:keepLines w:val="0"/>
              <w:rPr>
                <w:rtl/>
              </w:rPr>
            </w:pPr>
          </w:p>
        </w:tc>
        <w:tc>
          <w:tcPr>
            <w:tcW w:w="624" w:type="dxa"/>
          </w:tcPr>
          <w:p w14:paraId="170B0103" w14:textId="77777777" w:rsidR="003B705A" w:rsidRDefault="003B705A" w:rsidP="003B705A">
            <w:pPr>
              <w:pStyle w:val="TableText"/>
              <w:rPr>
                <w:rtl/>
              </w:rPr>
            </w:pPr>
          </w:p>
        </w:tc>
        <w:tc>
          <w:tcPr>
            <w:tcW w:w="7146" w:type="dxa"/>
            <w:gridSpan w:val="2"/>
          </w:tcPr>
          <w:p w14:paraId="1C329F37" w14:textId="30AB133B" w:rsidR="003B705A" w:rsidRDefault="00D57145" w:rsidP="00CD21A8">
            <w:pPr>
              <w:pStyle w:val="TableBlock"/>
              <w:rPr>
                <w:rtl/>
              </w:rPr>
            </w:pPr>
            <w:r>
              <w:rPr>
                <w:rFonts w:hint="cs"/>
                <w:rtl/>
              </w:rPr>
              <w:t>(ד)</w:t>
            </w:r>
            <w:r>
              <w:rPr>
                <w:rtl/>
              </w:rPr>
              <w:tab/>
            </w:r>
            <w:r w:rsidR="00CD21A8">
              <w:rPr>
                <w:rFonts w:hint="cs"/>
                <w:rtl/>
              </w:rPr>
              <w:t>ל</w:t>
            </w:r>
            <w:r w:rsidRPr="00D57145">
              <w:rPr>
                <w:rtl/>
              </w:rPr>
              <w:t>בקשה לרישיון לפי סעיף זה יצורפו מסמכים המעידים על קיום התנאים למתן הרישיון.</w:t>
            </w:r>
          </w:p>
        </w:tc>
      </w:tr>
      <w:tr w:rsidR="003B705A" w14:paraId="33221604" w14:textId="77777777" w:rsidTr="008E11DF">
        <w:trPr>
          <w:cantSplit/>
          <w:trHeight w:val="60"/>
        </w:trPr>
        <w:tc>
          <w:tcPr>
            <w:tcW w:w="1871" w:type="dxa"/>
          </w:tcPr>
          <w:p w14:paraId="29B2AEB9" w14:textId="77777777" w:rsidR="003B705A" w:rsidRDefault="003B705A" w:rsidP="003B705A">
            <w:pPr>
              <w:pStyle w:val="TableSideHeading"/>
              <w:keepLines w:val="0"/>
              <w:rPr>
                <w:rtl/>
              </w:rPr>
            </w:pPr>
          </w:p>
        </w:tc>
        <w:tc>
          <w:tcPr>
            <w:tcW w:w="624" w:type="dxa"/>
          </w:tcPr>
          <w:p w14:paraId="46E5AA66" w14:textId="77777777" w:rsidR="003B705A" w:rsidRDefault="003B705A" w:rsidP="003B705A">
            <w:pPr>
              <w:pStyle w:val="TableText"/>
              <w:rPr>
                <w:rtl/>
              </w:rPr>
            </w:pPr>
          </w:p>
        </w:tc>
        <w:tc>
          <w:tcPr>
            <w:tcW w:w="7146" w:type="dxa"/>
            <w:gridSpan w:val="2"/>
          </w:tcPr>
          <w:p w14:paraId="73C6F7EC" w14:textId="1C957600" w:rsidR="003B705A" w:rsidRDefault="00CD21A8" w:rsidP="00CD21A8">
            <w:pPr>
              <w:pStyle w:val="TableBlock"/>
              <w:rPr>
                <w:rtl/>
              </w:rPr>
            </w:pPr>
            <w:r>
              <w:rPr>
                <w:rFonts w:hint="cs"/>
                <w:rtl/>
              </w:rPr>
              <w:t>(ה)</w:t>
            </w:r>
            <w:r>
              <w:rPr>
                <w:rtl/>
              </w:rPr>
              <w:tab/>
            </w:r>
            <w:r w:rsidRPr="00CD21A8">
              <w:rPr>
                <w:rtl/>
              </w:rPr>
              <w:t xml:space="preserve">רישיון לפי סעיף זה יכול שיינתן לקיום </w:t>
            </w:r>
            <w:r>
              <w:rPr>
                <w:rFonts w:hint="cs"/>
                <w:rtl/>
              </w:rPr>
              <w:t>טורניר פוקר</w:t>
            </w:r>
            <w:r w:rsidR="00337009">
              <w:rPr>
                <w:rtl/>
              </w:rPr>
              <w:t xml:space="preserve"> חד</w:t>
            </w:r>
            <w:r w:rsidR="00337009">
              <w:rPr>
                <w:rFonts w:hint="cs"/>
                <w:rtl/>
              </w:rPr>
              <w:t>-</w:t>
            </w:r>
            <w:r w:rsidRPr="00CD21A8">
              <w:rPr>
                <w:rtl/>
              </w:rPr>
              <w:t xml:space="preserve">פעמי או לקיומם של כמה </w:t>
            </w:r>
            <w:r>
              <w:rPr>
                <w:rFonts w:hint="cs"/>
                <w:rtl/>
              </w:rPr>
              <w:t>טורנירים של פוקר</w:t>
            </w:r>
            <w:r w:rsidRPr="00CD21A8">
              <w:rPr>
                <w:rtl/>
              </w:rPr>
              <w:t>;</w:t>
            </w:r>
            <w:r w:rsidRPr="00CD21A8">
              <w:rPr>
                <w:rFonts w:hint="cs"/>
                <w:rtl/>
              </w:rPr>
              <w:t xml:space="preserve"> </w:t>
            </w:r>
            <w:r w:rsidRPr="00CD21A8">
              <w:rPr>
                <w:rtl/>
              </w:rPr>
              <w:t xml:space="preserve">היה הרישיון לקיומם של כמה </w:t>
            </w:r>
            <w:r>
              <w:rPr>
                <w:rFonts w:hint="cs"/>
                <w:rtl/>
              </w:rPr>
              <w:t>טורנירים</w:t>
            </w:r>
            <w:r w:rsidRPr="00CD21A8">
              <w:rPr>
                <w:rtl/>
              </w:rPr>
              <w:t xml:space="preserve"> – יצוינו ברישיון המועדים שבהם יתקיימו </w:t>
            </w:r>
            <w:r>
              <w:rPr>
                <w:rFonts w:hint="cs"/>
                <w:rtl/>
              </w:rPr>
              <w:t>הטורנירים</w:t>
            </w:r>
            <w:r w:rsidRPr="00CD21A8">
              <w:rPr>
                <w:rtl/>
              </w:rPr>
              <w:t xml:space="preserve"> האמורים.</w:t>
            </w:r>
          </w:p>
        </w:tc>
      </w:tr>
      <w:tr w:rsidR="003B705A" w14:paraId="0496CFB7" w14:textId="77777777" w:rsidTr="008E11DF">
        <w:trPr>
          <w:cantSplit/>
          <w:trHeight w:val="60"/>
        </w:trPr>
        <w:tc>
          <w:tcPr>
            <w:tcW w:w="1871" w:type="dxa"/>
          </w:tcPr>
          <w:p w14:paraId="1AD21AAB" w14:textId="77777777" w:rsidR="003B705A" w:rsidRDefault="003B705A" w:rsidP="003B705A">
            <w:pPr>
              <w:pStyle w:val="TableSideHeading"/>
              <w:keepLines w:val="0"/>
              <w:rPr>
                <w:rtl/>
              </w:rPr>
            </w:pPr>
          </w:p>
        </w:tc>
        <w:tc>
          <w:tcPr>
            <w:tcW w:w="624" w:type="dxa"/>
          </w:tcPr>
          <w:p w14:paraId="0955CBF8" w14:textId="77777777" w:rsidR="003B705A" w:rsidRDefault="003B705A" w:rsidP="003B705A">
            <w:pPr>
              <w:pStyle w:val="TableText"/>
              <w:rPr>
                <w:rtl/>
              </w:rPr>
            </w:pPr>
          </w:p>
        </w:tc>
        <w:tc>
          <w:tcPr>
            <w:tcW w:w="7146" w:type="dxa"/>
            <w:gridSpan w:val="2"/>
          </w:tcPr>
          <w:p w14:paraId="3B7EA543" w14:textId="737712FE" w:rsidR="003B705A" w:rsidRDefault="00CD21A8" w:rsidP="004C0FC8">
            <w:pPr>
              <w:pStyle w:val="TableBlock"/>
              <w:rPr>
                <w:rtl/>
              </w:rPr>
            </w:pPr>
            <w:r>
              <w:rPr>
                <w:rFonts w:hint="cs"/>
                <w:rtl/>
              </w:rPr>
              <w:t>(</w:t>
            </w:r>
            <w:r w:rsidR="004C0FC8">
              <w:rPr>
                <w:rFonts w:hint="cs"/>
                <w:rtl/>
              </w:rPr>
              <w:t>ו</w:t>
            </w:r>
            <w:r>
              <w:rPr>
                <w:rFonts w:hint="cs"/>
                <w:rtl/>
              </w:rPr>
              <w:t>)</w:t>
            </w:r>
            <w:r>
              <w:rPr>
                <w:rtl/>
              </w:rPr>
              <w:tab/>
            </w:r>
            <w:r w:rsidRPr="00CD21A8">
              <w:rPr>
                <w:rtl/>
              </w:rPr>
              <w:t>אין ברישיון לפי סעיף זה כדי לפטור את בעל הרישיון מהחובות החלות עליו לפי הוראות כל דין אחר, לרבות החובה לקבל אישור או היתר אחר הנדרשים לפי כל דין.</w:t>
            </w:r>
          </w:p>
        </w:tc>
      </w:tr>
      <w:tr w:rsidR="00CD21A8" w14:paraId="4BD4B7E1" w14:textId="77777777" w:rsidTr="008E11DF">
        <w:trPr>
          <w:cantSplit/>
          <w:trHeight w:val="60"/>
        </w:trPr>
        <w:tc>
          <w:tcPr>
            <w:tcW w:w="1871" w:type="dxa"/>
          </w:tcPr>
          <w:p w14:paraId="222019AA" w14:textId="01482BBD" w:rsidR="00CD21A8" w:rsidRDefault="00CD21A8" w:rsidP="003B705A">
            <w:pPr>
              <w:pStyle w:val="TableSideHeading"/>
              <w:keepLines w:val="0"/>
              <w:rPr>
                <w:rtl/>
              </w:rPr>
            </w:pPr>
            <w:r>
              <w:rPr>
                <w:rFonts w:hint="cs"/>
                <w:rtl/>
              </w:rPr>
              <w:t>הגבלה על העברת רישיון</w:t>
            </w:r>
          </w:p>
        </w:tc>
        <w:tc>
          <w:tcPr>
            <w:tcW w:w="624" w:type="dxa"/>
          </w:tcPr>
          <w:p w14:paraId="44854D66" w14:textId="48C292DA" w:rsidR="00CD21A8" w:rsidRDefault="00CD21A8" w:rsidP="00CD21A8">
            <w:pPr>
              <w:pStyle w:val="TableText"/>
              <w:rPr>
                <w:rtl/>
              </w:rPr>
            </w:pPr>
            <w:r>
              <w:rPr>
                <w:rFonts w:hint="cs"/>
                <w:rtl/>
              </w:rPr>
              <w:t>3.</w:t>
            </w:r>
          </w:p>
        </w:tc>
        <w:tc>
          <w:tcPr>
            <w:tcW w:w="7146" w:type="dxa"/>
            <w:gridSpan w:val="2"/>
          </w:tcPr>
          <w:p w14:paraId="48F721B3" w14:textId="74ED431D" w:rsidR="00CD21A8" w:rsidRDefault="00CD21A8" w:rsidP="00CD21A8">
            <w:pPr>
              <w:pStyle w:val="TableBlock"/>
              <w:rPr>
                <w:rtl/>
              </w:rPr>
            </w:pPr>
            <w:r>
              <w:rPr>
                <w:rFonts w:hint="cs"/>
                <w:rtl/>
              </w:rPr>
              <w:t>(א)</w:t>
            </w:r>
            <w:r>
              <w:rPr>
                <w:rtl/>
              </w:rPr>
              <w:tab/>
            </w:r>
            <w:r w:rsidRPr="00CD21A8">
              <w:rPr>
                <w:rtl/>
              </w:rPr>
              <w:t>רישיון שניתן לפי הוראות חוק זה, אינו ניתן להעברה אלא בהסכמה מראש ובכתב</w:t>
            </w:r>
            <w:r w:rsidRPr="00CD21A8">
              <w:rPr>
                <w:rFonts w:hint="cs"/>
                <w:rtl/>
              </w:rPr>
              <w:t xml:space="preserve"> </w:t>
            </w:r>
            <w:r w:rsidRPr="00CD21A8">
              <w:rPr>
                <w:rtl/>
              </w:rPr>
              <w:t>מאת הרש</w:t>
            </w:r>
            <w:r>
              <w:rPr>
                <w:rtl/>
              </w:rPr>
              <w:t>ות המוסמכת, ובהתאם לתנאים שתורה</w:t>
            </w:r>
            <w:r w:rsidRPr="00CD21A8">
              <w:rPr>
                <w:rtl/>
              </w:rPr>
              <w:t>.</w:t>
            </w:r>
          </w:p>
        </w:tc>
      </w:tr>
      <w:tr w:rsidR="00CD21A8" w14:paraId="52C95B86" w14:textId="77777777" w:rsidTr="008E11DF">
        <w:trPr>
          <w:cantSplit/>
          <w:trHeight w:val="60"/>
        </w:trPr>
        <w:tc>
          <w:tcPr>
            <w:tcW w:w="1871" w:type="dxa"/>
          </w:tcPr>
          <w:p w14:paraId="3742663F" w14:textId="77777777" w:rsidR="00CD21A8" w:rsidRDefault="00CD21A8" w:rsidP="003B705A">
            <w:pPr>
              <w:pStyle w:val="TableSideHeading"/>
              <w:keepLines w:val="0"/>
              <w:rPr>
                <w:rtl/>
              </w:rPr>
            </w:pPr>
          </w:p>
        </w:tc>
        <w:tc>
          <w:tcPr>
            <w:tcW w:w="624" w:type="dxa"/>
          </w:tcPr>
          <w:p w14:paraId="09595B0D" w14:textId="77777777" w:rsidR="00CD21A8" w:rsidRDefault="00CD21A8" w:rsidP="00CD21A8">
            <w:pPr>
              <w:pStyle w:val="TableText"/>
              <w:rPr>
                <w:rtl/>
              </w:rPr>
            </w:pPr>
          </w:p>
        </w:tc>
        <w:tc>
          <w:tcPr>
            <w:tcW w:w="7146" w:type="dxa"/>
            <w:gridSpan w:val="2"/>
          </w:tcPr>
          <w:p w14:paraId="4406C53C" w14:textId="5FD8B705" w:rsidR="00CD21A8" w:rsidRDefault="00CD21A8" w:rsidP="00CD21A8">
            <w:pPr>
              <w:pStyle w:val="TableBlock"/>
              <w:rPr>
                <w:rtl/>
              </w:rPr>
            </w:pPr>
            <w:r>
              <w:rPr>
                <w:rFonts w:hint="cs"/>
                <w:rtl/>
              </w:rPr>
              <w:t>(ב)</w:t>
            </w:r>
            <w:r>
              <w:rPr>
                <w:rtl/>
              </w:rPr>
              <w:tab/>
            </w:r>
            <w:r w:rsidRPr="00CD21A8">
              <w:rPr>
                <w:rtl/>
              </w:rPr>
              <w:t>רישיון שהועבר שלא בהתאם להוראות סעיף זה, לא יהיה לו תוקף.</w:t>
            </w:r>
          </w:p>
        </w:tc>
      </w:tr>
      <w:tr w:rsidR="00CD21A8" w14:paraId="3C92CD86" w14:textId="77777777" w:rsidTr="008E11DF">
        <w:trPr>
          <w:cantSplit/>
          <w:trHeight w:val="60"/>
        </w:trPr>
        <w:tc>
          <w:tcPr>
            <w:tcW w:w="1871" w:type="dxa"/>
          </w:tcPr>
          <w:p w14:paraId="3DB6780B" w14:textId="3D88852B" w:rsidR="00CD21A8" w:rsidRDefault="00CD21A8" w:rsidP="003B705A">
            <w:pPr>
              <w:pStyle w:val="TableSideHeading"/>
              <w:keepLines w:val="0"/>
              <w:rPr>
                <w:rtl/>
              </w:rPr>
            </w:pPr>
            <w:r>
              <w:rPr>
                <w:rFonts w:hint="cs"/>
                <w:rtl/>
              </w:rPr>
              <w:t>ביטול או התליית רישיון</w:t>
            </w:r>
          </w:p>
        </w:tc>
        <w:tc>
          <w:tcPr>
            <w:tcW w:w="624" w:type="dxa"/>
          </w:tcPr>
          <w:p w14:paraId="1C281AD6" w14:textId="3969A261" w:rsidR="00CD21A8" w:rsidRDefault="00CD21A8" w:rsidP="00CD21A8">
            <w:pPr>
              <w:pStyle w:val="TableText"/>
              <w:rPr>
                <w:rtl/>
              </w:rPr>
            </w:pPr>
            <w:r>
              <w:rPr>
                <w:rFonts w:hint="cs"/>
                <w:rtl/>
              </w:rPr>
              <w:t>4.</w:t>
            </w:r>
          </w:p>
        </w:tc>
        <w:tc>
          <w:tcPr>
            <w:tcW w:w="7146" w:type="dxa"/>
            <w:gridSpan w:val="2"/>
          </w:tcPr>
          <w:p w14:paraId="499A393E" w14:textId="6317CC3C" w:rsidR="00CD21A8" w:rsidRDefault="00CD21A8" w:rsidP="00CD21A8">
            <w:pPr>
              <w:pStyle w:val="TableBlock"/>
              <w:rPr>
                <w:rtl/>
              </w:rPr>
            </w:pPr>
            <w:r>
              <w:rPr>
                <w:rFonts w:hint="cs"/>
                <w:rtl/>
              </w:rPr>
              <w:t>(א)</w:t>
            </w:r>
            <w:r>
              <w:rPr>
                <w:rtl/>
              </w:rPr>
              <w:tab/>
            </w:r>
            <w:r w:rsidRPr="00CD21A8">
              <w:rPr>
                <w:rtl/>
              </w:rPr>
              <w:t>הרשות המוסמכת רשאית לבטל רישיון שנתנה לפי הוראות חוק זה או להתלותו, לאחר שנתנה לבעל הרישיון הזדמנות להשמיע את טענותיו, בהתקיים אחד מאלה:</w:t>
            </w:r>
          </w:p>
        </w:tc>
      </w:tr>
      <w:tr w:rsidR="00CD21A8" w14:paraId="1399936F" w14:textId="77777777">
        <w:trPr>
          <w:cantSplit/>
          <w:trHeight w:val="60"/>
        </w:trPr>
        <w:tc>
          <w:tcPr>
            <w:tcW w:w="1871" w:type="dxa"/>
          </w:tcPr>
          <w:p w14:paraId="2302FE21" w14:textId="77777777" w:rsidR="00CD21A8" w:rsidRDefault="00CD21A8">
            <w:pPr>
              <w:pStyle w:val="TableSideHeading"/>
            </w:pPr>
          </w:p>
        </w:tc>
        <w:tc>
          <w:tcPr>
            <w:tcW w:w="624" w:type="dxa"/>
          </w:tcPr>
          <w:p w14:paraId="44DBF3C8" w14:textId="77777777" w:rsidR="00CD21A8" w:rsidRDefault="00CD21A8">
            <w:pPr>
              <w:pStyle w:val="TableText"/>
            </w:pPr>
          </w:p>
        </w:tc>
        <w:tc>
          <w:tcPr>
            <w:tcW w:w="624" w:type="dxa"/>
          </w:tcPr>
          <w:p w14:paraId="4524178C" w14:textId="77777777" w:rsidR="00CD21A8" w:rsidRDefault="00CD21A8">
            <w:pPr>
              <w:pStyle w:val="TableText"/>
            </w:pPr>
          </w:p>
        </w:tc>
        <w:tc>
          <w:tcPr>
            <w:tcW w:w="6522" w:type="dxa"/>
          </w:tcPr>
          <w:p w14:paraId="14A8322D" w14:textId="1F6460D3" w:rsidR="00CD21A8" w:rsidRDefault="00CD21A8" w:rsidP="00CD21A8">
            <w:pPr>
              <w:pStyle w:val="TableBlock"/>
              <w:rPr>
                <w:lang w:eastAsia="he-IL"/>
              </w:rPr>
            </w:pPr>
            <w:r>
              <w:rPr>
                <w:rFonts w:hint="cs"/>
                <w:rtl/>
              </w:rPr>
              <w:t>(1)</w:t>
            </w:r>
            <w:r>
              <w:rPr>
                <w:rtl/>
              </w:rPr>
              <w:tab/>
            </w:r>
            <w:r w:rsidRPr="00CD21A8">
              <w:rPr>
                <w:rtl/>
                <w:lang w:eastAsia="he-IL"/>
              </w:rPr>
              <w:t>הרישיון ניתן על יסוד מידע כוזב או שגוי;</w:t>
            </w:r>
          </w:p>
        </w:tc>
      </w:tr>
      <w:tr w:rsidR="00CD21A8" w14:paraId="661703F2" w14:textId="77777777">
        <w:trPr>
          <w:cantSplit/>
          <w:trHeight w:val="60"/>
        </w:trPr>
        <w:tc>
          <w:tcPr>
            <w:tcW w:w="1871" w:type="dxa"/>
          </w:tcPr>
          <w:p w14:paraId="036F0606" w14:textId="77777777" w:rsidR="00CD21A8" w:rsidRDefault="00CD21A8">
            <w:pPr>
              <w:pStyle w:val="TableSideHeading"/>
            </w:pPr>
          </w:p>
        </w:tc>
        <w:tc>
          <w:tcPr>
            <w:tcW w:w="624" w:type="dxa"/>
          </w:tcPr>
          <w:p w14:paraId="5546D43E" w14:textId="77777777" w:rsidR="00CD21A8" w:rsidRDefault="00CD21A8" w:rsidP="00CD21A8">
            <w:pPr>
              <w:pStyle w:val="TableText"/>
            </w:pPr>
          </w:p>
        </w:tc>
        <w:tc>
          <w:tcPr>
            <w:tcW w:w="624" w:type="dxa"/>
          </w:tcPr>
          <w:p w14:paraId="194933FB" w14:textId="77777777" w:rsidR="00CD21A8" w:rsidRDefault="00CD21A8">
            <w:pPr>
              <w:pStyle w:val="TableText"/>
            </w:pPr>
          </w:p>
        </w:tc>
        <w:tc>
          <w:tcPr>
            <w:tcW w:w="6522" w:type="dxa"/>
          </w:tcPr>
          <w:p w14:paraId="285BD56A" w14:textId="5B4403EF" w:rsidR="00CD21A8" w:rsidRDefault="00CD21A8" w:rsidP="00CD21A8">
            <w:pPr>
              <w:pStyle w:val="TableBlock"/>
              <w:rPr>
                <w:rtl/>
              </w:rPr>
            </w:pPr>
            <w:r>
              <w:rPr>
                <w:rFonts w:hint="cs"/>
                <w:rtl/>
              </w:rPr>
              <w:t>(2)</w:t>
            </w:r>
            <w:r>
              <w:rPr>
                <w:rtl/>
              </w:rPr>
              <w:tab/>
            </w:r>
            <w:r w:rsidRPr="00CD21A8">
              <w:rPr>
                <w:rtl/>
              </w:rPr>
              <w:t>חדל להתקיים תנאי מהתנאים למתן הרישיון;</w:t>
            </w:r>
          </w:p>
        </w:tc>
      </w:tr>
      <w:tr w:rsidR="00CD21A8" w14:paraId="1A28C7B5" w14:textId="77777777">
        <w:trPr>
          <w:cantSplit/>
          <w:trHeight w:val="60"/>
        </w:trPr>
        <w:tc>
          <w:tcPr>
            <w:tcW w:w="1871" w:type="dxa"/>
          </w:tcPr>
          <w:p w14:paraId="0464E072" w14:textId="77777777" w:rsidR="00CD21A8" w:rsidRDefault="00CD21A8">
            <w:pPr>
              <w:pStyle w:val="TableSideHeading"/>
            </w:pPr>
          </w:p>
        </w:tc>
        <w:tc>
          <w:tcPr>
            <w:tcW w:w="624" w:type="dxa"/>
          </w:tcPr>
          <w:p w14:paraId="2D033A80" w14:textId="77777777" w:rsidR="00CD21A8" w:rsidRDefault="00CD21A8" w:rsidP="00CD21A8">
            <w:pPr>
              <w:pStyle w:val="TableText"/>
            </w:pPr>
          </w:p>
        </w:tc>
        <w:tc>
          <w:tcPr>
            <w:tcW w:w="624" w:type="dxa"/>
          </w:tcPr>
          <w:p w14:paraId="6FE8061B" w14:textId="77777777" w:rsidR="00CD21A8" w:rsidRDefault="00CD21A8">
            <w:pPr>
              <w:pStyle w:val="TableText"/>
            </w:pPr>
          </w:p>
        </w:tc>
        <w:tc>
          <w:tcPr>
            <w:tcW w:w="6522" w:type="dxa"/>
          </w:tcPr>
          <w:p w14:paraId="333F3032" w14:textId="26A8EAE2" w:rsidR="00CD21A8" w:rsidRDefault="00CD21A8" w:rsidP="00CD21A8">
            <w:pPr>
              <w:pStyle w:val="TableBlock"/>
              <w:rPr>
                <w:rtl/>
              </w:rPr>
            </w:pPr>
            <w:r>
              <w:rPr>
                <w:rFonts w:hint="cs"/>
                <w:rtl/>
              </w:rPr>
              <w:t>(3)</w:t>
            </w:r>
            <w:r>
              <w:rPr>
                <w:rtl/>
              </w:rPr>
              <w:tab/>
            </w:r>
            <w:r w:rsidRPr="00CD21A8">
              <w:rPr>
                <w:rtl/>
              </w:rPr>
              <w:t>הופר תנאי מתנאי הרישיון או הוראה מהוראות לפי חוק זה.</w:t>
            </w:r>
          </w:p>
        </w:tc>
      </w:tr>
      <w:tr w:rsidR="00CD21A8" w14:paraId="1A6067A2" w14:textId="77777777" w:rsidTr="00EE0537">
        <w:trPr>
          <w:cantSplit/>
          <w:trHeight w:val="60"/>
        </w:trPr>
        <w:tc>
          <w:tcPr>
            <w:tcW w:w="1871" w:type="dxa"/>
          </w:tcPr>
          <w:p w14:paraId="2FB66F47" w14:textId="77777777" w:rsidR="00CD21A8" w:rsidRDefault="00CD21A8">
            <w:pPr>
              <w:pStyle w:val="TableSideHeading"/>
            </w:pPr>
          </w:p>
        </w:tc>
        <w:tc>
          <w:tcPr>
            <w:tcW w:w="624" w:type="dxa"/>
          </w:tcPr>
          <w:p w14:paraId="04D7C22D" w14:textId="77777777" w:rsidR="00CD21A8" w:rsidRDefault="00CD21A8" w:rsidP="00CD21A8">
            <w:pPr>
              <w:pStyle w:val="TableText"/>
            </w:pPr>
          </w:p>
        </w:tc>
        <w:tc>
          <w:tcPr>
            <w:tcW w:w="7146" w:type="dxa"/>
            <w:gridSpan w:val="2"/>
          </w:tcPr>
          <w:p w14:paraId="2817212C" w14:textId="6778D805" w:rsidR="00CD21A8" w:rsidRDefault="00CD21A8" w:rsidP="00CD21A8">
            <w:pPr>
              <w:pStyle w:val="TableBlock"/>
              <w:rPr>
                <w:rtl/>
              </w:rPr>
            </w:pPr>
            <w:r>
              <w:rPr>
                <w:rFonts w:hint="cs"/>
                <w:rtl/>
              </w:rPr>
              <w:t>(ב)</w:t>
            </w:r>
            <w:r>
              <w:rPr>
                <w:rtl/>
              </w:rPr>
              <w:tab/>
            </w:r>
            <w:r w:rsidRPr="00CD21A8">
              <w:rPr>
                <w:rtl/>
              </w:rPr>
              <w:t>בוטל רישיון לפי הוראות סעיף זה, יחזירו, מי שהיה בעליו, לרשות המוסמכת.</w:t>
            </w:r>
          </w:p>
        </w:tc>
      </w:tr>
      <w:tr w:rsidR="00BF44AB" w14:paraId="6F70483E" w14:textId="77777777" w:rsidTr="00EE0537">
        <w:trPr>
          <w:cantSplit/>
          <w:trHeight w:val="60"/>
        </w:trPr>
        <w:tc>
          <w:tcPr>
            <w:tcW w:w="1871" w:type="dxa"/>
          </w:tcPr>
          <w:p w14:paraId="30A87487" w14:textId="41906CE2" w:rsidR="00BF44AB" w:rsidRDefault="00BF44AB">
            <w:pPr>
              <w:pStyle w:val="TableSideHeading"/>
            </w:pPr>
            <w:r>
              <w:rPr>
                <w:rFonts w:hint="cs"/>
                <w:rtl/>
              </w:rPr>
              <w:t>מיסוי</w:t>
            </w:r>
          </w:p>
        </w:tc>
        <w:tc>
          <w:tcPr>
            <w:tcW w:w="624" w:type="dxa"/>
          </w:tcPr>
          <w:p w14:paraId="498B2301" w14:textId="5CADE567" w:rsidR="00BF44AB" w:rsidRDefault="00BF44AB" w:rsidP="00BF44AB">
            <w:pPr>
              <w:pStyle w:val="TableText"/>
            </w:pPr>
            <w:r>
              <w:rPr>
                <w:rFonts w:hint="cs"/>
                <w:rtl/>
              </w:rPr>
              <w:t>5.</w:t>
            </w:r>
          </w:p>
        </w:tc>
        <w:tc>
          <w:tcPr>
            <w:tcW w:w="7146" w:type="dxa"/>
            <w:gridSpan w:val="2"/>
          </w:tcPr>
          <w:p w14:paraId="79CAAD89" w14:textId="241B928D" w:rsidR="00BF44AB" w:rsidRDefault="00BF44AB" w:rsidP="00CD21A8">
            <w:pPr>
              <w:pStyle w:val="TableBlock"/>
              <w:rPr>
                <w:rtl/>
              </w:rPr>
            </w:pPr>
            <w:r>
              <w:rPr>
                <w:rFonts w:hint="cs"/>
                <w:rtl/>
              </w:rPr>
              <w:t>סכום הזכייה בטורניר</w:t>
            </w:r>
            <w:r w:rsidR="003715CB">
              <w:rPr>
                <w:rFonts w:hint="cs"/>
                <w:rtl/>
              </w:rPr>
              <w:t xml:space="preserve"> פוקר</w:t>
            </w:r>
            <w:r>
              <w:rPr>
                <w:rFonts w:hint="cs"/>
                <w:rtl/>
              </w:rPr>
              <w:t xml:space="preserve"> ייחשב כהכנסה לפי סעיף 2(1) ל</w:t>
            </w:r>
            <w:r w:rsidR="003715CB">
              <w:rPr>
                <w:rFonts w:hint="cs"/>
                <w:rtl/>
              </w:rPr>
              <w:t>פקודת מס הכנסה</w:t>
            </w:r>
            <w:r w:rsidR="003715CB">
              <w:rPr>
                <w:rStyle w:val="a5"/>
                <w:rtl/>
              </w:rPr>
              <w:footnoteReference w:id="2"/>
            </w:r>
            <w:r w:rsidR="006449BC">
              <w:rPr>
                <w:rFonts w:hint="cs"/>
                <w:rtl/>
              </w:rPr>
              <w:t>,</w:t>
            </w:r>
            <w:r w:rsidR="003715CB">
              <w:rPr>
                <w:rFonts w:hint="cs"/>
                <w:rtl/>
              </w:rPr>
              <w:t xml:space="preserve"> ויחולו עליו הוראות סעיף 17 לפקודה האמורה. </w:t>
            </w:r>
          </w:p>
        </w:tc>
      </w:tr>
      <w:tr w:rsidR="004C0FC8" w14:paraId="236AF785" w14:textId="77777777" w:rsidTr="00EE0537">
        <w:trPr>
          <w:cantSplit/>
          <w:trHeight w:val="60"/>
        </w:trPr>
        <w:tc>
          <w:tcPr>
            <w:tcW w:w="1871" w:type="dxa"/>
          </w:tcPr>
          <w:p w14:paraId="6E3C1743" w14:textId="59A673DE" w:rsidR="004C0FC8" w:rsidRDefault="004C0FC8">
            <w:pPr>
              <w:pStyle w:val="TableSideHeading"/>
            </w:pPr>
            <w:r>
              <w:rPr>
                <w:rFonts w:hint="cs"/>
                <w:rtl/>
              </w:rPr>
              <w:t>עונשין</w:t>
            </w:r>
          </w:p>
        </w:tc>
        <w:tc>
          <w:tcPr>
            <w:tcW w:w="624" w:type="dxa"/>
          </w:tcPr>
          <w:p w14:paraId="12555570" w14:textId="50F163A2" w:rsidR="004C0FC8" w:rsidRDefault="003715CB" w:rsidP="004C0FC8">
            <w:pPr>
              <w:pStyle w:val="TableText"/>
            </w:pPr>
            <w:r>
              <w:rPr>
                <w:rFonts w:hint="cs"/>
                <w:rtl/>
              </w:rPr>
              <w:t>6.</w:t>
            </w:r>
          </w:p>
        </w:tc>
        <w:tc>
          <w:tcPr>
            <w:tcW w:w="7146" w:type="dxa"/>
            <w:gridSpan w:val="2"/>
          </w:tcPr>
          <w:p w14:paraId="6EBB52F8" w14:textId="471F16F5" w:rsidR="004C0FC8" w:rsidRDefault="004C0FC8" w:rsidP="006449BC">
            <w:pPr>
              <w:pStyle w:val="TableBlock"/>
              <w:rPr>
                <w:rtl/>
              </w:rPr>
            </w:pPr>
            <w:r>
              <w:rPr>
                <w:rFonts w:hint="cs"/>
                <w:rtl/>
              </w:rPr>
              <w:t>המארגן או עורך טורניר פוקר אסור</w:t>
            </w:r>
            <w:r w:rsidR="006449BC">
              <w:rPr>
                <w:rFonts w:hint="cs"/>
                <w:rtl/>
              </w:rPr>
              <w:t>,</w:t>
            </w:r>
            <w:r>
              <w:rPr>
                <w:rFonts w:hint="cs"/>
                <w:rtl/>
              </w:rPr>
              <w:t xml:space="preserve"> דינו</w:t>
            </w:r>
            <w:r w:rsidR="006449BC">
              <w:rPr>
                <w:rFonts w:hint="cs"/>
                <w:rtl/>
              </w:rPr>
              <w:t xml:space="preserve"> </w:t>
            </w:r>
            <w:r w:rsidR="006449BC">
              <w:rPr>
                <w:rFonts w:hint="eastAsia"/>
                <w:rtl/>
              </w:rPr>
              <w:t>–</w:t>
            </w:r>
            <w:r>
              <w:rPr>
                <w:rFonts w:hint="cs"/>
                <w:rtl/>
              </w:rPr>
              <w:t xml:space="preserve"> מאסר שלוש שנים או כפל הקנס האמור בסעיף 61(א)(4) לחוק העונשין, התשל"ז</w:t>
            </w:r>
            <w:r w:rsidR="003715CB">
              <w:rPr>
                <w:rFonts w:hint="eastAsia"/>
                <w:rtl/>
              </w:rPr>
              <w:t>–</w:t>
            </w:r>
            <w:r>
              <w:rPr>
                <w:rFonts w:hint="cs"/>
                <w:rtl/>
              </w:rPr>
              <w:t>1977</w:t>
            </w:r>
            <w:r>
              <w:rPr>
                <w:rStyle w:val="a5"/>
                <w:rtl/>
              </w:rPr>
              <w:footnoteReference w:id="3"/>
            </w:r>
            <w:r>
              <w:rPr>
                <w:rFonts w:hint="cs"/>
                <w:rtl/>
              </w:rPr>
              <w:t xml:space="preserve">. </w:t>
            </w:r>
          </w:p>
        </w:tc>
      </w:tr>
    </w:tbl>
    <w:p w14:paraId="7F6961CA" w14:textId="77777777" w:rsidR="002D1EE3" w:rsidRDefault="002D1EE3" w:rsidP="002D1EE3">
      <w:pPr>
        <w:pStyle w:val="HeadDivreiHesber"/>
        <w:rPr>
          <w:rtl/>
        </w:rPr>
      </w:pPr>
      <w:r w:rsidRPr="0027450A">
        <w:rPr>
          <w:rFonts w:hint="cs"/>
          <w:rtl/>
        </w:rPr>
        <w:t>דברי הסבר</w:t>
      </w:r>
    </w:p>
    <w:p w14:paraId="73FFFB38" w14:textId="1C634BEF" w:rsidR="00074BDD" w:rsidRPr="009E56AA" w:rsidRDefault="00E13921" w:rsidP="006449BC">
      <w:pPr>
        <w:pStyle w:val="Hesber"/>
        <w:rPr>
          <w:rtl/>
        </w:rPr>
      </w:pPr>
      <w:r>
        <w:rPr>
          <w:rFonts w:hint="cs"/>
          <w:rtl/>
        </w:rPr>
        <w:t xml:space="preserve">מטרת הצעת החוק היא להסדיר </w:t>
      </w:r>
      <w:r w:rsidR="00074BDD" w:rsidRPr="009E56AA">
        <w:rPr>
          <w:rtl/>
        </w:rPr>
        <w:t>את משחק הפוקר כענף ספורט תחרותי תחת מערכת של כללים וחוקים</w:t>
      </w:r>
      <w:r>
        <w:rPr>
          <w:rFonts w:hint="cs"/>
          <w:rtl/>
        </w:rPr>
        <w:t>.</w:t>
      </w:r>
      <w:r w:rsidRPr="00E13921">
        <w:rPr>
          <w:rFonts w:hint="cs"/>
          <w:rtl/>
        </w:rPr>
        <w:t xml:space="preserve"> </w:t>
      </w:r>
      <w:r>
        <w:rPr>
          <w:rFonts w:hint="cs"/>
          <w:rtl/>
        </w:rPr>
        <w:t>יפים לעניין זה</w:t>
      </w:r>
      <w:r w:rsidRPr="009E56AA">
        <w:rPr>
          <w:rFonts w:hint="cs"/>
          <w:rtl/>
        </w:rPr>
        <w:t xml:space="preserve"> דבריו של השופט הרי קירש: "</w:t>
      </w:r>
      <w:r w:rsidRPr="009E56AA">
        <w:rPr>
          <w:rtl/>
        </w:rPr>
        <w:t xml:space="preserve">לא מן הנמנע כי אדם יחליט להתמקצע בפעילות שהשפעת הגורל בה רבה אך לא בלעדית והוא ישתדל לרכוש יתרון על מתחריו באמצעות לימוד, תכנון ואימון וחרף </w:t>
      </w:r>
      <w:r w:rsidRPr="0062182D">
        <w:rPr>
          <w:rtl/>
        </w:rPr>
        <w:t>קיום גורם המזל</w:t>
      </w:r>
      <w:r w:rsidRPr="0062182D">
        <w:rPr>
          <w:rFonts w:hint="cs"/>
          <w:rtl/>
        </w:rPr>
        <w:t>" (</w:t>
      </w:r>
      <w:r w:rsidRPr="00C55FB2">
        <w:rPr>
          <w:rFonts w:hint="eastAsia"/>
          <w:rtl/>
        </w:rPr>
        <w:t>ע</w:t>
      </w:r>
      <w:r w:rsidRPr="00C55FB2">
        <w:rPr>
          <w:rtl/>
        </w:rPr>
        <w:t>"מ</w:t>
      </w:r>
      <w:r>
        <w:rPr>
          <w:rFonts w:hint="cs"/>
          <w:rtl/>
        </w:rPr>
        <w:t xml:space="preserve"> 19898-03-13</w:t>
      </w:r>
      <w:r w:rsidRPr="00C55FB2">
        <w:rPr>
          <w:rFonts w:hint="eastAsia"/>
          <w:rtl/>
        </w:rPr>
        <w:t> </w:t>
      </w:r>
      <w:r w:rsidRPr="006449BC">
        <w:rPr>
          <w:rFonts w:hint="eastAsia"/>
          <w:b/>
          <w:bCs/>
          <w:rtl/>
        </w:rPr>
        <w:t>אמית</w:t>
      </w:r>
      <w:r w:rsidRPr="006449BC">
        <w:rPr>
          <w:b/>
          <w:bCs/>
          <w:rtl/>
        </w:rPr>
        <w:t xml:space="preserve"> </w:t>
      </w:r>
      <w:r w:rsidRPr="006449BC">
        <w:rPr>
          <w:rFonts w:hint="eastAsia"/>
          <w:b/>
          <w:bCs/>
          <w:rtl/>
        </w:rPr>
        <w:t>אמשיקשוילי</w:t>
      </w:r>
      <w:r w:rsidRPr="006449BC">
        <w:rPr>
          <w:b/>
          <w:bCs/>
          <w:rtl/>
        </w:rPr>
        <w:t xml:space="preserve"> </w:t>
      </w:r>
      <w:r w:rsidRPr="006449BC">
        <w:rPr>
          <w:rFonts w:hint="eastAsia"/>
          <w:b/>
          <w:bCs/>
          <w:rtl/>
        </w:rPr>
        <w:t>נ</w:t>
      </w:r>
      <w:r w:rsidRPr="006449BC">
        <w:rPr>
          <w:b/>
          <w:bCs/>
          <w:rtl/>
        </w:rPr>
        <w:t xml:space="preserve">' </w:t>
      </w:r>
      <w:r w:rsidRPr="006449BC">
        <w:rPr>
          <w:rFonts w:hint="eastAsia"/>
          <w:b/>
          <w:bCs/>
          <w:rtl/>
        </w:rPr>
        <w:t>פקיד</w:t>
      </w:r>
      <w:r w:rsidRPr="006449BC">
        <w:rPr>
          <w:b/>
          <w:bCs/>
          <w:rtl/>
        </w:rPr>
        <w:t xml:space="preserve"> </w:t>
      </w:r>
      <w:r w:rsidRPr="006449BC">
        <w:rPr>
          <w:rFonts w:hint="eastAsia"/>
          <w:b/>
          <w:bCs/>
          <w:rtl/>
        </w:rPr>
        <w:t>שומה</w:t>
      </w:r>
      <w:r w:rsidRPr="006449BC">
        <w:rPr>
          <w:b/>
          <w:bCs/>
          <w:rtl/>
        </w:rPr>
        <w:t xml:space="preserve"> </w:t>
      </w:r>
      <w:r w:rsidRPr="006449BC">
        <w:rPr>
          <w:rFonts w:hint="eastAsia"/>
          <w:b/>
          <w:bCs/>
          <w:rtl/>
        </w:rPr>
        <w:t>תל</w:t>
      </w:r>
      <w:r w:rsidRPr="006449BC">
        <w:rPr>
          <w:b/>
          <w:bCs/>
          <w:rtl/>
        </w:rPr>
        <w:t xml:space="preserve"> </w:t>
      </w:r>
      <w:r w:rsidRPr="006449BC">
        <w:rPr>
          <w:rFonts w:hint="eastAsia"/>
          <w:b/>
          <w:bCs/>
          <w:rtl/>
        </w:rPr>
        <w:t>אביב</w:t>
      </w:r>
      <w:r w:rsidRPr="006449BC">
        <w:rPr>
          <w:b/>
          <w:bCs/>
          <w:rtl/>
        </w:rPr>
        <w:t xml:space="preserve"> 4</w:t>
      </w:r>
      <w:r w:rsidR="006449BC" w:rsidRPr="006449BC">
        <w:rPr>
          <w:rFonts w:hint="cs"/>
          <w:rtl/>
        </w:rPr>
        <w:t>,</w:t>
      </w:r>
      <w:r w:rsidR="006449BC">
        <w:rPr>
          <w:rFonts w:hint="cs"/>
          <w:rtl/>
        </w:rPr>
        <w:t xml:space="preserve"> ניתן ביום 15.6.2016</w:t>
      </w:r>
      <w:r w:rsidRPr="0062182D">
        <w:rPr>
          <w:rFonts w:hint="cs"/>
          <w:rtl/>
        </w:rPr>
        <w:t>).</w:t>
      </w:r>
      <w:r w:rsidR="00074BDD" w:rsidRPr="009E56AA">
        <w:rPr>
          <w:rtl/>
        </w:rPr>
        <w:t xml:space="preserve"> משחק הפוקר אינו מוכר כ</w:t>
      </w:r>
      <w:r w:rsidR="0062182D">
        <w:rPr>
          <w:rFonts w:hint="cs"/>
          <w:rtl/>
        </w:rPr>
        <w:t xml:space="preserve">ענף </w:t>
      </w:r>
      <w:r w:rsidR="00074BDD" w:rsidRPr="009E56AA">
        <w:rPr>
          <w:rtl/>
        </w:rPr>
        <w:t>ספורט רשמי בישראל</w:t>
      </w:r>
      <w:r w:rsidR="00074BDD" w:rsidRPr="009E56AA">
        <w:rPr>
          <w:rFonts w:hint="cs"/>
          <w:rtl/>
        </w:rPr>
        <w:t xml:space="preserve">, </w:t>
      </w:r>
      <w:r>
        <w:rPr>
          <w:rFonts w:hint="cs"/>
          <w:rtl/>
        </w:rPr>
        <w:t xml:space="preserve">וכך </w:t>
      </w:r>
      <w:r w:rsidR="0062182D">
        <w:rPr>
          <w:rFonts w:hint="cs"/>
          <w:rtl/>
        </w:rPr>
        <w:t xml:space="preserve">מתקיים "שוק שחור" לעניין </w:t>
      </w:r>
      <w:r w:rsidR="0062182D">
        <w:rPr>
          <w:rFonts w:hint="cs"/>
          <w:rtl/>
        </w:rPr>
        <w:lastRenderedPageBreak/>
        <w:t>כספי הזכיות במשחק הפוקר, אשר אין תשלום מס</w:t>
      </w:r>
      <w:r w:rsidR="006449BC">
        <w:rPr>
          <w:rFonts w:hint="cs"/>
          <w:rtl/>
        </w:rPr>
        <w:t xml:space="preserve"> בשלהם</w:t>
      </w:r>
      <w:r w:rsidR="0062182D">
        <w:rPr>
          <w:rFonts w:hint="cs"/>
          <w:rtl/>
        </w:rPr>
        <w:t xml:space="preserve">. </w:t>
      </w:r>
      <w:r>
        <w:rPr>
          <w:rFonts w:hint="cs"/>
          <w:rtl/>
        </w:rPr>
        <w:t xml:space="preserve">יתרה מכך, בחלק מהמקרים, </w:t>
      </w:r>
      <w:r w:rsidRPr="009E56AA">
        <w:rPr>
          <w:rtl/>
        </w:rPr>
        <w:t xml:space="preserve">הרווחים </w:t>
      </w:r>
      <w:r>
        <w:rPr>
          <w:rFonts w:hint="cs"/>
          <w:rtl/>
        </w:rPr>
        <w:t xml:space="preserve">מועברים </w:t>
      </w:r>
      <w:r w:rsidRPr="009E56AA">
        <w:rPr>
          <w:rtl/>
        </w:rPr>
        <w:t>לידיים פרטיות, לעיתים לגורמים עברייניים ואף מושקעים מחוץ למדינת ישראל.</w:t>
      </w:r>
      <w:r w:rsidRPr="009E56AA">
        <w:rPr>
          <w:rFonts w:hint="cs"/>
          <w:rtl/>
        </w:rPr>
        <w:t xml:space="preserve"> </w:t>
      </w:r>
    </w:p>
    <w:p w14:paraId="717AD117" w14:textId="1E56638F" w:rsidR="00074BDD" w:rsidRPr="009E56AA" w:rsidRDefault="006449BC" w:rsidP="006449BC">
      <w:pPr>
        <w:pStyle w:val="Hesber"/>
        <w:rPr>
          <w:rtl/>
        </w:rPr>
      </w:pPr>
      <w:r>
        <w:rPr>
          <w:rFonts w:hint="cs"/>
          <w:rtl/>
        </w:rPr>
        <w:t>אם</w:t>
      </w:r>
      <w:r w:rsidR="00074BDD" w:rsidRPr="009E56AA">
        <w:rPr>
          <w:rtl/>
        </w:rPr>
        <w:t xml:space="preserve"> משחק הפוקר יוכרז כענף ספורט רשמי ומותר בחוק, </w:t>
      </w:r>
      <w:r w:rsidR="00E13921">
        <w:rPr>
          <w:rFonts w:hint="cs"/>
          <w:rtl/>
        </w:rPr>
        <w:t>ה</w:t>
      </w:r>
      <w:r w:rsidR="00E13921" w:rsidRPr="009E56AA">
        <w:rPr>
          <w:rtl/>
        </w:rPr>
        <w:t>רווחי</w:t>
      </w:r>
      <w:r w:rsidR="00E13921">
        <w:rPr>
          <w:rFonts w:hint="cs"/>
          <w:rtl/>
        </w:rPr>
        <w:t>ם</w:t>
      </w:r>
      <w:r w:rsidR="00E13921" w:rsidRPr="009E56AA">
        <w:rPr>
          <w:rtl/>
        </w:rPr>
        <w:t xml:space="preserve"> </w:t>
      </w:r>
      <w:r w:rsidR="00074BDD" w:rsidRPr="009E56AA">
        <w:rPr>
          <w:rtl/>
        </w:rPr>
        <w:t xml:space="preserve">מכספי הזכייה או התמורה יהיו תחת פיקוח ציבורי </w:t>
      </w:r>
      <w:r w:rsidR="00E13921">
        <w:rPr>
          <w:rFonts w:hint="cs"/>
          <w:rtl/>
        </w:rPr>
        <w:t>ונתונים ל</w:t>
      </w:r>
      <w:r w:rsidR="00074BDD" w:rsidRPr="009E56AA">
        <w:rPr>
          <w:rtl/>
        </w:rPr>
        <w:t xml:space="preserve">ביקורת שלטונות המס. בדומה להסדרי הימורים אחרים, </w:t>
      </w:r>
      <w:r>
        <w:rPr>
          <w:rFonts w:hint="cs"/>
          <w:rtl/>
        </w:rPr>
        <w:t>י</w:t>
      </w:r>
      <w:r w:rsidR="00074BDD" w:rsidRPr="009E56AA">
        <w:rPr>
          <w:rtl/>
        </w:rPr>
        <w:t xml:space="preserve">ועבר שיעור מכספי ההשתתפות במשחקים המותרים והזכייה, לתמיכה במטרות ראויות בישראל. </w:t>
      </w:r>
      <w:r w:rsidR="00E13921">
        <w:rPr>
          <w:rFonts w:hint="cs"/>
          <w:rtl/>
        </w:rPr>
        <w:t xml:space="preserve">כמו כן, </w:t>
      </w:r>
      <w:r w:rsidR="00074BDD" w:rsidRPr="009E56AA">
        <w:rPr>
          <w:rFonts w:hint="cs"/>
          <w:rtl/>
        </w:rPr>
        <w:t xml:space="preserve">טורניר </w:t>
      </w:r>
      <w:r w:rsidR="00E13921">
        <w:rPr>
          <w:rFonts w:hint="cs"/>
          <w:rtl/>
        </w:rPr>
        <w:t>ה</w:t>
      </w:r>
      <w:r w:rsidR="00074BDD" w:rsidRPr="009E56AA">
        <w:rPr>
          <w:rFonts w:hint="cs"/>
          <w:rtl/>
        </w:rPr>
        <w:t xml:space="preserve">פוקר מלווה בקהל רב מכל העולם, </w:t>
      </w:r>
      <w:r w:rsidR="00E13921">
        <w:rPr>
          <w:rFonts w:hint="cs"/>
          <w:rtl/>
        </w:rPr>
        <w:t>ו</w:t>
      </w:r>
      <w:r w:rsidR="00074BDD" w:rsidRPr="009E56AA">
        <w:rPr>
          <w:rFonts w:hint="cs"/>
          <w:rtl/>
        </w:rPr>
        <w:t>הגעתם לארץ</w:t>
      </w:r>
      <w:r w:rsidR="00E13921">
        <w:rPr>
          <w:rFonts w:hint="cs"/>
          <w:rtl/>
        </w:rPr>
        <w:t xml:space="preserve"> של שחקני הפוקר המובילים</w:t>
      </w:r>
      <w:r w:rsidR="00074BDD" w:rsidRPr="009E56AA">
        <w:rPr>
          <w:rFonts w:hint="cs"/>
          <w:rtl/>
        </w:rPr>
        <w:t xml:space="preserve"> לשם השתתפות בטורניר פוקר תוביל לעלייה </w:t>
      </w:r>
      <w:r w:rsidR="00E13921">
        <w:rPr>
          <w:rFonts w:hint="cs"/>
          <w:rtl/>
        </w:rPr>
        <w:t>בהכנסות</w:t>
      </w:r>
      <w:r w:rsidR="00E13921" w:rsidRPr="009E56AA">
        <w:rPr>
          <w:rFonts w:hint="cs"/>
          <w:rtl/>
        </w:rPr>
        <w:t xml:space="preserve"> </w:t>
      </w:r>
      <w:r w:rsidR="00074BDD" w:rsidRPr="009E56AA">
        <w:rPr>
          <w:rFonts w:hint="cs"/>
          <w:rtl/>
        </w:rPr>
        <w:t xml:space="preserve">התיירות </w:t>
      </w:r>
      <w:r w:rsidR="00E13921" w:rsidRPr="009E56AA">
        <w:rPr>
          <w:rFonts w:hint="cs"/>
          <w:rtl/>
        </w:rPr>
        <w:t>ו</w:t>
      </w:r>
      <w:r w:rsidR="00E13921">
        <w:rPr>
          <w:rFonts w:hint="cs"/>
          <w:rtl/>
        </w:rPr>
        <w:t>לשיפור ה</w:t>
      </w:r>
      <w:r w:rsidR="00E13921" w:rsidRPr="009E56AA">
        <w:rPr>
          <w:rFonts w:hint="cs"/>
          <w:rtl/>
        </w:rPr>
        <w:t xml:space="preserve">כלכלה </w:t>
      </w:r>
      <w:r w:rsidR="00074BDD" w:rsidRPr="009E56AA">
        <w:rPr>
          <w:rFonts w:hint="cs"/>
          <w:rtl/>
        </w:rPr>
        <w:t>בישראל.</w:t>
      </w:r>
    </w:p>
    <w:p w14:paraId="7F6961CB" w14:textId="5D1F97CC" w:rsidR="00E13C27" w:rsidRDefault="00744324" w:rsidP="00744324">
      <w:pPr>
        <w:pStyle w:val="Hesber"/>
        <w:rPr>
          <w:rtl/>
        </w:rPr>
      </w:pPr>
      <w:r>
        <w:rPr>
          <w:rFonts w:hint="cs"/>
          <w:rtl/>
        </w:rPr>
        <w:t xml:space="preserve">נוכח האמור, מוצע לקבוע כי אדם לא יקיים טורניר פוקר אלא ברישיון, וכן את התנאים הנדרשים לקבלת הרישיון. כן מוצע לקבוע כי סכומי הזכייה בטורניר ייחשבו להכנסות ממשלח יד. לבסוף, מוצע לקבוע הוראת עונשין לפיה </w:t>
      </w:r>
      <w:r w:rsidRPr="00744324">
        <w:rPr>
          <w:rFonts w:hint="cs"/>
          <w:rtl/>
        </w:rPr>
        <w:t>המארגן או עורך טורניר פוקר אסור דינו מאסר שלוש שנים או כפל הקנס האמור בסעיף 61(א)(4) לחוק העונשין, התשל"ז</w:t>
      </w:r>
      <w:r w:rsidRPr="00744324">
        <w:rPr>
          <w:rFonts w:hint="eastAsia"/>
          <w:rtl/>
        </w:rPr>
        <w:t>–</w:t>
      </w:r>
      <w:r w:rsidRPr="00744324">
        <w:rPr>
          <w:rFonts w:hint="cs"/>
          <w:rtl/>
        </w:rPr>
        <w:t>1977</w:t>
      </w:r>
      <w:r w:rsidRPr="00B34A7B">
        <w:rPr>
          <w:rFonts w:hint="cs"/>
          <w:rtl/>
        </w:rPr>
        <w:t xml:space="preserve">. </w:t>
      </w:r>
    </w:p>
    <w:p w14:paraId="3BB2D060" w14:textId="023F0D2A" w:rsidR="00324822" w:rsidRDefault="00324822" w:rsidP="00744324">
      <w:pPr>
        <w:pStyle w:val="Hesber"/>
        <w:rPr>
          <w:rtl/>
        </w:rPr>
      </w:pPr>
    </w:p>
    <w:p w14:paraId="696C7E88" w14:textId="77777777" w:rsidR="00324822" w:rsidRDefault="00324822" w:rsidP="00744324">
      <w:pPr>
        <w:pStyle w:val="Hesber"/>
        <w:rPr>
          <w:rtl/>
        </w:rPr>
      </w:pPr>
    </w:p>
    <w:p w14:paraId="12FAC773" w14:textId="77777777" w:rsidR="00324822" w:rsidRPr="00D73212" w:rsidRDefault="00324822" w:rsidP="00324822">
      <w:pPr>
        <w:pStyle w:val="Hesber"/>
        <w:rPr>
          <w:color w:val="auto"/>
          <w:rtl/>
          <w:lang w:eastAsia="en-US"/>
        </w:rPr>
      </w:pPr>
      <w:r w:rsidRPr="00D73212">
        <w:rPr>
          <w:color w:val="auto"/>
          <w:rtl/>
          <w:lang w:eastAsia="en-US"/>
        </w:rPr>
        <w:t>---------------------------------</w:t>
      </w:r>
    </w:p>
    <w:p w14:paraId="39C2420C" w14:textId="77777777" w:rsidR="00324822" w:rsidRPr="00D73212" w:rsidRDefault="00324822" w:rsidP="00324822">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6C6C93D5" w14:textId="77777777" w:rsidR="00324822" w:rsidRPr="00D73212" w:rsidRDefault="00324822" w:rsidP="00324822">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1C704B8A" w14:textId="77777777" w:rsidR="00324822" w:rsidRPr="00317312" w:rsidRDefault="00324822" w:rsidP="00324822">
      <w:pPr>
        <w:pStyle w:val="Hesber"/>
      </w:pPr>
      <w:r>
        <w:rPr>
          <w:rFonts w:hint="cs"/>
          <w:color w:val="auto"/>
          <w:rtl/>
          <w:lang w:eastAsia="en-US"/>
        </w:rPr>
        <w:t>ו' באב</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ח</w:t>
      </w:r>
      <w:r w:rsidRPr="00D73212">
        <w:rPr>
          <w:color w:val="auto"/>
          <w:rtl/>
          <w:lang w:eastAsia="en-US"/>
        </w:rPr>
        <w:t xml:space="preserve"> – </w:t>
      </w:r>
      <w:r>
        <w:rPr>
          <w:rFonts w:hint="cs"/>
          <w:color w:val="auto"/>
          <w:rtl/>
          <w:lang w:eastAsia="en-US"/>
        </w:rPr>
        <w:t>18.7</w:t>
      </w:r>
      <w:r w:rsidRPr="00D73212">
        <w:rPr>
          <w:color w:val="auto"/>
          <w:rtl/>
          <w:lang w:eastAsia="en-US"/>
        </w:rPr>
        <w:t>.</w:t>
      </w:r>
      <w:r>
        <w:rPr>
          <w:rFonts w:hint="cs"/>
          <w:color w:val="auto"/>
          <w:rtl/>
          <w:lang w:eastAsia="en-US"/>
        </w:rPr>
        <w:t>18</w:t>
      </w:r>
    </w:p>
    <w:p w14:paraId="1FFCE81A" w14:textId="77777777" w:rsidR="00324822" w:rsidRDefault="00324822" w:rsidP="00744324">
      <w:pPr>
        <w:pStyle w:val="Hesber"/>
        <w:rPr>
          <w:rFonts w:hint="cs"/>
          <w:rtl/>
        </w:rPr>
      </w:pPr>
      <w:bookmarkStart w:id="8" w:name="_GoBack"/>
      <w:bookmarkEnd w:id="8"/>
    </w:p>
    <w:sectPr w:rsidR="00324822"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324822">
      <w:rPr>
        <w:rStyle w:val="aa"/>
        <w:noProof/>
        <w:rtl/>
      </w:rPr>
      <w:t>3</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4362485E" w14:textId="540CA87B" w:rsidR="003715CB" w:rsidRDefault="003715CB">
      <w:pPr>
        <w:pStyle w:val="a4"/>
      </w:pPr>
      <w:r>
        <w:rPr>
          <w:rStyle w:val="a5"/>
        </w:rPr>
        <w:footnoteRef/>
      </w:r>
      <w:r>
        <w:rPr>
          <w:rtl/>
        </w:rPr>
        <w:t xml:space="preserve"> </w:t>
      </w:r>
      <w:r>
        <w:rPr>
          <w:rFonts w:hint="cs"/>
          <w:rtl/>
        </w:rPr>
        <w:t xml:space="preserve">דיני מדינת ישראל, נוסח חדש 6, עמ' 120. </w:t>
      </w:r>
    </w:p>
  </w:footnote>
  <w:footnote w:id="3">
    <w:p w14:paraId="2353A8BB" w14:textId="4EA3CB70" w:rsidR="004C0FC8" w:rsidRDefault="004C0FC8">
      <w:pPr>
        <w:pStyle w:val="a4"/>
      </w:pPr>
      <w:r>
        <w:rPr>
          <w:rStyle w:val="a5"/>
        </w:rPr>
        <w:footnoteRef/>
      </w:r>
      <w:r>
        <w:rPr>
          <w:rtl/>
        </w:rPr>
        <w:t xml:space="preserve"> </w:t>
      </w:r>
      <w:r w:rsidR="00651A99">
        <w:rPr>
          <w:rFonts w:hint="cs"/>
          <w:rtl/>
        </w:rPr>
        <w:t>ס"ח התשל"ז, עמ' 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65AE2"/>
    <w:rsid w:val="00072CAC"/>
    <w:rsid w:val="00074BDD"/>
    <w:rsid w:val="0007681A"/>
    <w:rsid w:val="00082561"/>
    <w:rsid w:val="000A542E"/>
    <w:rsid w:val="00102B6B"/>
    <w:rsid w:val="001052D4"/>
    <w:rsid w:val="0010644B"/>
    <w:rsid w:val="001207F8"/>
    <w:rsid w:val="00121924"/>
    <w:rsid w:val="001279A8"/>
    <w:rsid w:val="0014195F"/>
    <w:rsid w:val="00152609"/>
    <w:rsid w:val="00153E1B"/>
    <w:rsid w:val="001A0623"/>
    <w:rsid w:val="001C23B0"/>
    <w:rsid w:val="001D7AAF"/>
    <w:rsid w:val="001E16D9"/>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4822"/>
    <w:rsid w:val="00325C14"/>
    <w:rsid w:val="00337009"/>
    <w:rsid w:val="0036422C"/>
    <w:rsid w:val="003710F6"/>
    <w:rsid w:val="003715CB"/>
    <w:rsid w:val="00386E88"/>
    <w:rsid w:val="00396585"/>
    <w:rsid w:val="003B705A"/>
    <w:rsid w:val="003D6E38"/>
    <w:rsid w:val="003D74A0"/>
    <w:rsid w:val="004033D8"/>
    <w:rsid w:val="004073F0"/>
    <w:rsid w:val="00412A7D"/>
    <w:rsid w:val="00416B4D"/>
    <w:rsid w:val="00417CFC"/>
    <w:rsid w:val="00484ABE"/>
    <w:rsid w:val="004A06DC"/>
    <w:rsid w:val="004B24ED"/>
    <w:rsid w:val="004B6625"/>
    <w:rsid w:val="004C0FC8"/>
    <w:rsid w:val="004C2219"/>
    <w:rsid w:val="004D2D82"/>
    <w:rsid w:val="004D30AF"/>
    <w:rsid w:val="004D3876"/>
    <w:rsid w:val="004E4552"/>
    <w:rsid w:val="004E6CDF"/>
    <w:rsid w:val="00550760"/>
    <w:rsid w:val="00553C9D"/>
    <w:rsid w:val="00562A66"/>
    <w:rsid w:val="005A3FEC"/>
    <w:rsid w:val="005B064E"/>
    <w:rsid w:val="005D51AE"/>
    <w:rsid w:val="00617A4A"/>
    <w:rsid w:val="0062182D"/>
    <w:rsid w:val="0062674B"/>
    <w:rsid w:val="006363B2"/>
    <w:rsid w:val="00636E95"/>
    <w:rsid w:val="00644940"/>
    <w:rsid w:val="006449BC"/>
    <w:rsid w:val="00651A99"/>
    <w:rsid w:val="006818A9"/>
    <w:rsid w:val="00681A40"/>
    <w:rsid w:val="006A1399"/>
    <w:rsid w:val="006A2D81"/>
    <w:rsid w:val="006C1D0D"/>
    <w:rsid w:val="006D46AE"/>
    <w:rsid w:val="0070601E"/>
    <w:rsid w:val="00712C72"/>
    <w:rsid w:val="00735FE9"/>
    <w:rsid w:val="00744324"/>
    <w:rsid w:val="00763CAA"/>
    <w:rsid w:val="00765F66"/>
    <w:rsid w:val="0078664F"/>
    <w:rsid w:val="007A27CE"/>
    <w:rsid w:val="007A2909"/>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16BC1"/>
    <w:rsid w:val="009203DB"/>
    <w:rsid w:val="00923CD4"/>
    <w:rsid w:val="00930EFE"/>
    <w:rsid w:val="00943386"/>
    <w:rsid w:val="009456B6"/>
    <w:rsid w:val="00957589"/>
    <w:rsid w:val="00966D06"/>
    <w:rsid w:val="00982412"/>
    <w:rsid w:val="00983A8D"/>
    <w:rsid w:val="009A0DB8"/>
    <w:rsid w:val="009A7257"/>
    <w:rsid w:val="009D6E0A"/>
    <w:rsid w:val="009E1E33"/>
    <w:rsid w:val="009E56AA"/>
    <w:rsid w:val="00A14672"/>
    <w:rsid w:val="00A26BD6"/>
    <w:rsid w:val="00A443CF"/>
    <w:rsid w:val="00A6611D"/>
    <w:rsid w:val="00A82CB7"/>
    <w:rsid w:val="00A942C1"/>
    <w:rsid w:val="00AA2F03"/>
    <w:rsid w:val="00AC36F7"/>
    <w:rsid w:val="00AC63A4"/>
    <w:rsid w:val="00AD239E"/>
    <w:rsid w:val="00AD7941"/>
    <w:rsid w:val="00B10265"/>
    <w:rsid w:val="00B16A99"/>
    <w:rsid w:val="00B21211"/>
    <w:rsid w:val="00B34A7B"/>
    <w:rsid w:val="00B35784"/>
    <w:rsid w:val="00B611A7"/>
    <w:rsid w:val="00B733A7"/>
    <w:rsid w:val="00B75C91"/>
    <w:rsid w:val="00B975AD"/>
    <w:rsid w:val="00BB3943"/>
    <w:rsid w:val="00BC45FB"/>
    <w:rsid w:val="00BF148D"/>
    <w:rsid w:val="00BF44AB"/>
    <w:rsid w:val="00C22C45"/>
    <w:rsid w:val="00C23B1A"/>
    <w:rsid w:val="00C310EB"/>
    <w:rsid w:val="00C9176A"/>
    <w:rsid w:val="00CD21A8"/>
    <w:rsid w:val="00CD4844"/>
    <w:rsid w:val="00CF1AA2"/>
    <w:rsid w:val="00D142D3"/>
    <w:rsid w:val="00D17774"/>
    <w:rsid w:val="00D25490"/>
    <w:rsid w:val="00D57145"/>
    <w:rsid w:val="00D63620"/>
    <w:rsid w:val="00D8410D"/>
    <w:rsid w:val="00D867D7"/>
    <w:rsid w:val="00DB6906"/>
    <w:rsid w:val="00DB7060"/>
    <w:rsid w:val="00DE3153"/>
    <w:rsid w:val="00E06736"/>
    <w:rsid w:val="00E13921"/>
    <w:rsid w:val="00E13C27"/>
    <w:rsid w:val="00E335EB"/>
    <w:rsid w:val="00E33BBD"/>
    <w:rsid w:val="00E374F2"/>
    <w:rsid w:val="00E40B61"/>
    <w:rsid w:val="00E45103"/>
    <w:rsid w:val="00E55A60"/>
    <w:rsid w:val="00E62778"/>
    <w:rsid w:val="00E635A2"/>
    <w:rsid w:val="00E63D38"/>
    <w:rsid w:val="00E665B9"/>
    <w:rsid w:val="00EA01E6"/>
    <w:rsid w:val="00EA3DE8"/>
    <w:rsid w:val="00EA758F"/>
    <w:rsid w:val="00ED4A6F"/>
    <w:rsid w:val="00EF3A3A"/>
    <w:rsid w:val="00F26CB8"/>
    <w:rsid w:val="00F50863"/>
    <w:rsid w:val="00F628D6"/>
    <w:rsid w:val="00F67051"/>
    <w:rsid w:val="00F80BA3"/>
    <w:rsid w:val="00F86A1E"/>
    <w:rsid w:val="00FA5E88"/>
    <w:rsid w:val="00FE15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DCC22149-C1C7-48B8-ADCA-15CF23A8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default">
    <w:name w:val="default"/>
    <w:basedOn w:val="a0"/>
    <w:rsid w:val="00636E95"/>
  </w:style>
  <w:style w:type="character" w:styleId="ad">
    <w:name w:val="annotation reference"/>
    <w:basedOn w:val="a0"/>
    <w:semiHidden/>
    <w:unhideWhenUsed/>
    <w:rsid w:val="00636E95"/>
    <w:rPr>
      <w:sz w:val="16"/>
      <w:szCs w:val="16"/>
    </w:rPr>
  </w:style>
  <w:style w:type="paragraph" w:styleId="ae">
    <w:name w:val="annotation text"/>
    <w:basedOn w:val="a"/>
    <w:link w:val="af"/>
    <w:semiHidden/>
    <w:unhideWhenUsed/>
    <w:rsid w:val="00636E95"/>
    <w:pPr>
      <w:spacing w:line="240" w:lineRule="auto"/>
    </w:pPr>
    <w:rPr>
      <w:sz w:val="20"/>
      <w:szCs w:val="20"/>
    </w:rPr>
  </w:style>
  <w:style w:type="character" w:customStyle="1" w:styleId="af">
    <w:name w:val="טקסט הערה תו"/>
    <w:basedOn w:val="a0"/>
    <w:link w:val="ae"/>
    <w:semiHidden/>
    <w:rsid w:val="00636E95"/>
    <w:rPr>
      <w:rFonts w:ascii="Hadasa Roso SL" w:hAnsi="Hadasa Roso SL" w:cs="Hadasa Roso SL"/>
      <w:color w:val="000000"/>
      <w:spacing w:val="1"/>
      <w:lang w:eastAsia="ja-JP"/>
    </w:rPr>
  </w:style>
  <w:style w:type="paragraph" w:styleId="af0">
    <w:name w:val="annotation subject"/>
    <w:basedOn w:val="ae"/>
    <w:next w:val="ae"/>
    <w:link w:val="af1"/>
    <w:semiHidden/>
    <w:unhideWhenUsed/>
    <w:rsid w:val="00636E95"/>
    <w:rPr>
      <w:b/>
      <w:bCs/>
    </w:rPr>
  </w:style>
  <w:style w:type="character" w:customStyle="1" w:styleId="af1">
    <w:name w:val="נושא הערה תו"/>
    <w:basedOn w:val="af"/>
    <w:link w:val="af0"/>
    <w:semiHidden/>
    <w:rsid w:val="00636E95"/>
    <w:rPr>
      <w:rFonts w:ascii="Hadasa Roso SL" w:hAnsi="Hadasa Roso SL" w:cs="Hadasa Roso SL"/>
      <w:b/>
      <w:bCs/>
      <w:color w:val="000000"/>
      <w:spacing w:val="1"/>
      <w:lang w:eastAsia="ja-JP"/>
    </w:rPr>
  </w:style>
  <w:style w:type="paragraph" w:customStyle="1" w:styleId="P00">
    <w:name w:val="P00"/>
    <w:link w:val="P000"/>
    <w:rsid w:val="00C22C4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character" w:customStyle="1" w:styleId="P000">
    <w:name w:val="P00 תו"/>
    <w:basedOn w:val="a0"/>
    <w:link w:val="P00"/>
    <w:rsid w:val="00C22C45"/>
    <w:rPr>
      <w:rFonts w:eastAsia="Times New Roman"/>
      <w:noProof/>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D96EEA25-2869-4B0C-811A-95791F9DC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C85540-72C9-49EE-A6D0-7EB9CA35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2368</TotalTime>
  <Pages>3</Pages>
  <Words>670</Words>
  <Characters>3353</Characters>
  <Application>Microsoft Office Word</Application>
  <DocSecurity>0</DocSecurity>
  <Lines>27</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חנה קרליץ</cp:lastModifiedBy>
  <cp:revision>34</cp:revision>
  <cp:lastPrinted>2018-07-17T10:39:00Z</cp:lastPrinted>
  <dcterms:created xsi:type="dcterms:W3CDTF">2015-04-20T09:58:00Z</dcterms:created>
  <dcterms:modified xsi:type="dcterms:W3CDTF">2018-07-17T10:39:00Z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2072608</vt:r8>
  </property>
</Properties>
</file>