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2072534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אורן אסף חזן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5F7DD8A7" w:rsidR="00E13C27" w:rsidRPr="00E06736" w:rsidRDefault="00904591" w:rsidP="00BD601B">
      <w:pPr>
        <w:pStyle w:val="David"/>
        <w:spacing w:line="240" w:lineRule="auto"/>
        <w:ind w:left="5760" w:firstLine="720"/>
        <w:rPr>
          <w:rtl/>
        </w:rPr>
      </w:pPr>
      <w:bookmarkStart w:id="6" w:name="Private_Number"/>
      <w:r>
        <w:rPr>
          <w:rFonts w:hint="cs"/>
          <w:rtl/>
        </w:rPr>
        <w:t>פ/5639/20</w:t>
      </w:r>
      <w:bookmarkEnd w:id="6"/>
    </w:p>
    <w:p w14:paraId="7F6961AD" w14:textId="4D6A3763" w:rsidR="00E13C27" w:rsidRPr="00F67051" w:rsidRDefault="00A443CF" w:rsidP="009B5DBB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הגבלת עמלה מוסדית על תרומת מלגת סטודנט, </w:t>
      </w:r>
      <w:proofErr w:type="spellStart"/>
      <w:r>
        <w:rPr>
          <w:rFonts w:hint="cs"/>
          <w:rtl/>
        </w:rPr>
        <w:t>התשע"ח</w:t>
      </w:r>
      <w:proofErr w:type="spellEnd"/>
      <w:r w:rsidR="009B5DBB">
        <w:rPr>
          <w:rFonts w:hint="eastAsia"/>
          <w:rtl/>
        </w:rPr>
        <w:t>–</w:t>
      </w:r>
      <w:r>
        <w:rPr>
          <w:rFonts w:hint="cs"/>
          <w:rtl/>
        </w:rPr>
        <w:t>2018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067800" w14:paraId="035EEF3D" w14:textId="77777777" w:rsidTr="00067800">
        <w:trPr>
          <w:cantSplit/>
        </w:trPr>
        <w:tc>
          <w:tcPr>
            <w:tcW w:w="1871" w:type="dxa"/>
          </w:tcPr>
          <w:p w14:paraId="6F513EF6" w14:textId="6A77A569" w:rsidR="00067800" w:rsidRPr="00067800" w:rsidRDefault="00067800" w:rsidP="00067800">
            <w:pPr>
              <w:pStyle w:val="TableSideHeading"/>
              <w:outlineLvl w:val="9"/>
            </w:pPr>
            <w:r>
              <w:rPr>
                <w:rFonts w:hint="cs"/>
                <w:rtl/>
              </w:rPr>
              <w:t>איסור על גביית עמלה על מלגת סטודנט</w:t>
            </w:r>
          </w:p>
        </w:tc>
        <w:tc>
          <w:tcPr>
            <w:tcW w:w="624" w:type="dxa"/>
          </w:tcPr>
          <w:p w14:paraId="7448BD1C" w14:textId="0B119BD1" w:rsidR="00067800" w:rsidRPr="00067800" w:rsidRDefault="00067800" w:rsidP="00067800">
            <w:pPr>
              <w:pStyle w:val="TableText"/>
              <w:jc w:val="both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1AE94DEB" w14:textId="598F500C" w:rsidR="00067800" w:rsidRPr="00BD601B" w:rsidRDefault="00BD601B" w:rsidP="00BD601B">
            <w:pPr>
              <w:pStyle w:val="TableBlock"/>
            </w:pPr>
            <w:r w:rsidRPr="00BD601B">
              <w:rPr>
                <w:rFonts w:hint="cs"/>
                <w:rtl/>
              </w:rPr>
              <w:t>מוסד להשכלה גבוהה</w:t>
            </w:r>
            <w:r w:rsidR="00067800" w:rsidRPr="00BD601B">
              <w:rPr>
                <w:rFonts w:hint="cs"/>
                <w:rtl/>
              </w:rPr>
              <w:t xml:space="preserve"> כמשמעותו בחוק המועצה להשכלה גבוהה, </w:t>
            </w:r>
            <w:proofErr w:type="spellStart"/>
            <w:r w:rsidR="00067800" w:rsidRPr="00BD601B">
              <w:rPr>
                <w:rFonts w:hint="cs"/>
                <w:rtl/>
              </w:rPr>
              <w:t>התשי"ח</w:t>
            </w:r>
            <w:proofErr w:type="spellEnd"/>
            <w:r w:rsidR="00067800" w:rsidRPr="00BD601B">
              <w:rPr>
                <w:rFonts w:hint="eastAsia"/>
                <w:rtl/>
              </w:rPr>
              <w:t>–</w:t>
            </w:r>
            <w:r w:rsidR="00067800" w:rsidRPr="00BD601B">
              <w:rPr>
                <w:rFonts w:hint="cs"/>
                <w:rtl/>
              </w:rPr>
              <w:t>1958</w:t>
            </w:r>
            <w:r w:rsidR="00067800" w:rsidRPr="00BD601B">
              <w:rPr>
                <w:rtl/>
              </w:rPr>
              <w:footnoteReference w:id="2"/>
            </w:r>
            <w:r w:rsidR="00875574" w:rsidRPr="00BD601B">
              <w:rPr>
                <w:rFonts w:hint="cs"/>
                <w:rtl/>
              </w:rPr>
              <w:t xml:space="preserve"> (להלן </w:t>
            </w:r>
            <w:r w:rsidR="00875574" w:rsidRPr="00BD601B">
              <w:rPr>
                <w:rtl/>
              </w:rPr>
              <w:t>–</w:t>
            </w:r>
            <w:r w:rsidR="00875574" w:rsidRPr="00BD601B">
              <w:rPr>
                <w:rFonts w:hint="cs"/>
                <w:rtl/>
              </w:rPr>
              <w:t xml:space="preserve"> חוק המועצה להשכלה גבוהה</w:t>
            </w:r>
            <w:r w:rsidR="00C96BDD" w:rsidRPr="00BD601B">
              <w:rPr>
                <w:rFonts w:hint="cs"/>
                <w:rtl/>
              </w:rPr>
              <w:t>)</w:t>
            </w:r>
            <w:r w:rsidR="00067800" w:rsidRPr="00BD601B">
              <w:rPr>
                <w:rFonts w:hint="cs"/>
                <w:rtl/>
              </w:rPr>
              <w:t xml:space="preserve">, </w:t>
            </w:r>
            <w:r w:rsidR="00875574" w:rsidRPr="00BD601B">
              <w:rPr>
                <w:rFonts w:hint="cs"/>
                <w:rtl/>
              </w:rPr>
              <w:t>שקיבל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הכרה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לפי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סעיף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9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לחוק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המועצה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להשכלה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גבוהה</w:t>
            </w:r>
            <w:r w:rsidR="00067800" w:rsidRPr="00BD601B">
              <w:rPr>
                <w:rFonts w:hint="cs"/>
                <w:rtl/>
              </w:rPr>
              <w:t>,</w:t>
            </w:r>
            <w:r w:rsidR="00875574" w:rsidRPr="00BD601B">
              <w:rPr>
                <w:rFonts w:hint="cs"/>
                <w:rtl/>
              </w:rPr>
              <w:t xml:space="preserve"> או שקיבל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תעודת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היתר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או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אישור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לפי</w:t>
            </w:r>
            <w:r w:rsidR="00875574" w:rsidRPr="00BD601B">
              <w:t xml:space="preserve"> </w:t>
            </w:r>
            <w:r>
              <w:rPr>
                <w:rFonts w:hint="cs"/>
                <w:rtl/>
              </w:rPr>
              <w:t xml:space="preserve">סעיף12א </w:t>
            </w:r>
            <w:r w:rsidR="00875574" w:rsidRPr="00BD601B">
              <w:rPr>
                <w:rFonts w:hint="cs"/>
                <w:rtl/>
              </w:rPr>
              <w:t>לחוק המועצה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להשכלה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גבוהה</w:t>
            </w:r>
            <w:r w:rsidR="00C96BDD" w:rsidRPr="00BD601B">
              <w:rPr>
                <w:rFonts w:hint="cs"/>
                <w:rtl/>
              </w:rPr>
              <w:t>,</w:t>
            </w:r>
            <w:r w:rsidR="00875574" w:rsidRPr="00BD601B">
              <w:rPr>
                <w:rFonts w:hint="cs"/>
                <w:rtl/>
              </w:rPr>
              <w:t xml:space="preserve"> או</w:t>
            </w:r>
            <w:r w:rsidR="00067800" w:rsidRPr="00BD601B">
              <w:rPr>
                <w:rFonts w:hint="cs"/>
                <w:rtl/>
              </w:rPr>
              <w:t xml:space="preserve"> </w:t>
            </w:r>
            <w:r w:rsidR="00875574" w:rsidRPr="00BD601B">
              <w:rPr>
                <w:rFonts w:hint="cs"/>
                <w:rtl/>
              </w:rPr>
              <w:t>שהתואר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שהוא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מעניק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הוכר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לפי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סעיף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28א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לחוק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>המועצה להשכלה</w:t>
            </w:r>
            <w:r w:rsidR="00875574" w:rsidRPr="00BD601B">
              <w:t xml:space="preserve"> </w:t>
            </w:r>
            <w:r w:rsidR="00875574" w:rsidRPr="00BD601B">
              <w:rPr>
                <w:rFonts w:hint="cs"/>
                <w:rtl/>
              </w:rPr>
              <w:t xml:space="preserve">גבוהה, </w:t>
            </w:r>
            <w:r w:rsidR="00067800" w:rsidRPr="00BD601B">
              <w:rPr>
                <w:rFonts w:hint="cs"/>
                <w:rtl/>
              </w:rPr>
              <w:t xml:space="preserve">לא </w:t>
            </w:r>
            <w:r w:rsidR="00875574" w:rsidRPr="00BD601B">
              <w:rPr>
                <w:rFonts w:hint="cs"/>
                <w:rtl/>
              </w:rPr>
              <w:t>יגבה</w:t>
            </w:r>
            <w:r w:rsidR="00067800" w:rsidRPr="00BD601B">
              <w:rPr>
                <w:rFonts w:hint="cs"/>
                <w:rtl/>
              </w:rPr>
              <w:t xml:space="preserve"> עמלה על תרומת מלגה לסטודנט בשיעור </w:t>
            </w:r>
            <w:r w:rsidR="00875574" w:rsidRPr="00BD601B">
              <w:rPr>
                <w:rFonts w:hint="cs"/>
                <w:rtl/>
              </w:rPr>
              <w:t xml:space="preserve">העולה </w:t>
            </w:r>
            <w:r w:rsidR="00067800" w:rsidRPr="00BD601B">
              <w:rPr>
                <w:rFonts w:hint="cs"/>
                <w:rtl/>
              </w:rPr>
              <w:t>על אחוז אחד מסך התרומה</w:t>
            </w:r>
            <w:r w:rsidR="00875574" w:rsidRPr="00BD601B">
              <w:rPr>
                <w:rFonts w:hint="cs"/>
                <w:rtl/>
              </w:rPr>
              <w:t>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6553CCE" w14:textId="0423F292" w:rsidR="00E2375D" w:rsidRPr="00875574" w:rsidRDefault="00E2375D" w:rsidP="00523CE1">
      <w:pPr>
        <w:pStyle w:val="Hesber"/>
        <w:spacing w:after="0" w:line="276" w:lineRule="auto"/>
        <w:ind w:left="0" w:firstLine="340"/>
        <w:rPr>
          <w:rtl/>
        </w:rPr>
      </w:pPr>
      <w:r w:rsidRPr="00875574">
        <w:rPr>
          <w:rFonts w:hint="cs"/>
          <w:rtl/>
        </w:rPr>
        <w:t>סטודנטים רבים בישראל נזקקים לתרומות של מלגות לצורך סיום לימודיהם</w:t>
      </w:r>
      <w:r w:rsidR="00875574">
        <w:rPr>
          <w:rFonts w:hint="cs"/>
          <w:rtl/>
        </w:rPr>
        <w:t xml:space="preserve"> לתואר</w:t>
      </w:r>
      <w:r w:rsidRPr="00875574">
        <w:rPr>
          <w:rFonts w:hint="cs"/>
          <w:rtl/>
        </w:rPr>
        <w:t xml:space="preserve"> במוסדות להשכלה גבוהה. עם זאת, </w:t>
      </w:r>
      <w:r w:rsidR="003F4245">
        <w:rPr>
          <w:rFonts w:hint="cs"/>
          <w:rtl/>
        </w:rPr>
        <w:t>הנושא אינו מוסדר בחקיקה</w:t>
      </w:r>
      <w:r w:rsidR="00303B4E">
        <w:rPr>
          <w:rFonts w:hint="cs"/>
          <w:rtl/>
        </w:rPr>
        <w:t>,</w:t>
      </w:r>
      <w:r w:rsidRPr="00875574">
        <w:rPr>
          <w:rFonts w:hint="cs"/>
          <w:rtl/>
        </w:rPr>
        <w:t xml:space="preserve"> וכל מוסד להשכלה גבוהה בוחר</w:t>
      </w:r>
      <w:r w:rsidR="003F4245">
        <w:rPr>
          <w:rFonts w:hint="cs"/>
          <w:rtl/>
        </w:rPr>
        <w:t>,</w:t>
      </w:r>
      <w:r w:rsidRPr="00875574">
        <w:rPr>
          <w:rFonts w:hint="cs"/>
          <w:rtl/>
        </w:rPr>
        <w:t xml:space="preserve"> על פי שיקול דעתו</w:t>
      </w:r>
      <w:r w:rsidR="003F4245">
        <w:rPr>
          <w:rFonts w:hint="cs"/>
          <w:rtl/>
        </w:rPr>
        <w:t>,</w:t>
      </w:r>
      <w:r w:rsidR="00BD601B">
        <w:rPr>
          <w:rFonts w:hint="cs"/>
          <w:rtl/>
        </w:rPr>
        <w:t xml:space="preserve"> </w:t>
      </w:r>
      <w:r w:rsidRPr="00875574">
        <w:rPr>
          <w:rFonts w:hint="cs"/>
          <w:rtl/>
        </w:rPr>
        <w:t xml:space="preserve">אם לגבות עמלה עבור התיווך בין </w:t>
      </w:r>
      <w:r w:rsidR="00303B4E">
        <w:rPr>
          <w:rFonts w:hint="cs"/>
          <w:rtl/>
        </w:rPr>
        <w:t>מעניק</w:t>
      </w:r>
      <w:r w:rsidR="00303B4E" w:rsidRPr="00875574">
        <w:rPr>
          <w:rFonts w:hint="cs"/>
          <w:rtl/>
        </w:rPr>
        <w:t xml:space="preserve"> </w:t>
      </w:r>
      <w:r w:rsidRPr="00875574">
        <w:rPr>
          <w:rFonts w:hint="cs"/>
          <w:rtl/>
        </w:rPr>
        <w:t>התרומה לבין מקבלה</w:t>
      </w:r>
      <w:r w:rsidR="00303B4E">
        <w:rPr>
          <w:rFonts w:hint="cs"/>
          <w:rtl/>
        </w:rPr>
        <w:t xml:space="preserve"> </w:t>
      </w:r>
      <w:r w:rsidR="00303B4E">
        <w:rPr>
          <w:rFonts w:hint="eastAsia"/>
          <w:rtl/>
        </w:rPr>
        <w:t>–</w:t>
      </w:r>
      <w:r w:rsidRPr="00875574">
        <w:rPr>
          <w:rFonts w:hint="cs"/>
          <w:rtl/>
        </w:rPr>
        <w:t xml:space="preserve"> הסטודנט</w:t>
      </w:r>
      <w:r w:rsidR="00303B4E">
        <w:rPr>
          <w:rFonts w:hint="cs"/>
          <w:rtl/>
        </w:rPr>
        <w:t>,</w:t>
      </w:r>
      <w:r w:rsidRPr="00875574">
        <w:rPr>
          <w:rFonts w:hint="cs"/>
          <w:rtl/>
        </w:rPr>
        <w:t xml:space="preserve"> ו</w:t>
      </w:r>
      <w:r w:rsidR="00303B4E">
        <w:rPr>
          <w:rFonts w:hint="cs"/>
          <w:rtl/>
        </w:rPr>
        <w:t xml:space="preserve">כן </w:t>
      </w:r>
      <w:r w:rsidRPr="00875574">
        <w:rPr>
          <w:rFonts w:hint="cs"/>
          <w:rtl/>
        </w:rPr>
        <w:t xml:space="preserve">מהו שיעור </w:t>
      </w:r>
      <w:r w:rsidR="00303B4E">
        <w:rPr>
          <w:rFonts w:hint="cs"/>
          <w:rtl/>
        </w:rPr>
        <w:t>ה</w:t>
      </w:r>
      <w:r w:rsidRPr="00875574">
        <w:rPr>
          <w:rFonts w:hint="cs"/>
          <w:rtl/>
        </w:rPr>
        <w:t>עמלה</w:t>
      </w:r>
      <w:r w:rsidR="00303B4E">
        <w:rPr>
          <w:rFonts w:hint="cs"/>
          <w:rtl/>
        </w:rPr>
        <w:t xml:space="preserve"> האמורה</w:t>
      </w:r>
      <w:r w:rsidRPr="00875574">
        <w:rPr>
          <w:rFonts w:hint="cs"/>
          <w:rtl/>
        </w:rPr>
        <w:t xml:space="preserve">. כך יוצא, שבעוד שיש מוסדות להשכלה גבוהה  </w:t>
      </w:r>
      <w:r w:rsidR="003F4245">
        <w:rPr>
          <w:rFonts w:hint="cs"/>
          <w:rtl/>
        </w:rPr>
        <w:t>ש</w:t>
      </w:r>
      <w:r w:rsidRPr="00875574">
        <w:rPr>
          <w:rFonts w:hint="cs"/>
          <w:rtl/>
        </w:rPr>
        <w:t>אינם גובים עמלה כזו</w:t>
      </w:r>
      <w:r w:rsidR="003F4245">
        <w:rPr>
          <w:rFonts w:hint="cs"/>
          <w:rtl/>
        </w:rPr>
        <w:t xml:space="preserve"> שעשויה</w:t>
      </w:r>
      <w:r w:rsidRPr="00875574">
        <w:rPr>
          <w:rFonts w:hint="cs"/>
          <w:rtl/>
        </w:rPr>
        <w:t xml:space="preserve">, </w:t>
      </w:r>
      <w:r w:rsidR="00303B4E">
        <w:rPr>
          <w:rFonts w:hint="cs"/>
          <w:rtl/>
        </w:rPr>
        <w:t>במקרים מסוימים</w:t>
      </w:r>
      <w:r w:rsidR="003F4245">
        <w:rPr>
          <w:rFonts w:hint="cs"/>
          <w:rtl/>
        </w:rPr>
        <w:t>,</w:t>
      </w:r>
      <w:r w:rsidR="00303B4E" w:rsidRPr="00875574">
        <w:rPr>
          <w:rFonts w:hint="cs"/>
          <w:rtl/>
        </w:rPr>
        <w:t xml:space="preserve"> </w:t>
      </w:r>
      <w:r w:rsidRPr="00875574">
        <w:rPr>
          <w:rFonts w:hint="cs"/>
          <w:rtl/>
        </w:rPr>
        <w:t xml:space="preserve">להגיע </w:t>
      </w:r>
      <w:r w:rsidR="00303B4E">
        <w:rPr>
          <w:rFonts w:hint="cs"/>
          <w:rtl/>
        </w:rPr>
        <w:t>לעשרים</w:t>
      </w:r>
      <w:r w:rsidRPr="00875574">
        <w:rPr>
          <w:rFonts w:hint="cs"/>
          <w:rtl/>
        </w:rPr>
        <w:t xml:space="preserve"> אחוז</w:t>
      </w:r>
      <w:r w:rsidR="00303B4E">
        <w:rPr>
          <w:rFonts w:hint="cs"/>
          <w:rtl/>
        </w:rPr>
        <w:t>ים</w:t>
      </w:r>
      <w:r w:rsidRPr="00875574">
        <w:rPr>
          <w:rFonts w:hint="cs"/>
          <w:rtl/>
        </w:rPr>
        <w:t xml:space="preserve"> מסך התרומה</w:t>
      </w:r>
      <w:r w:rsidR="00303B4E">
        <w:rPr>
          <w:rFonts w:hint="cs"/>
          <w:rtl/>
        </w:rPr>
        <w:t>.</w:t>
      </w:r>
      <w:r w:rsidRPr="00875574">
        <w:rPr>
          <w:rFonts w:hint="cs"/>
          <w:rtl/>
        </w:rPr>
        <w:t xml:space="preserve">  עמלה </w:t>
      </w:r>
      <w:r w:rsidR="00303B4E">
        <w:rPr>
          <w:rFonts w:hint="cs"/>
          <w:rtl/>
        </w:rPr>
        <w:t xml:space="preserve">זו </w:t>
      </w:r>
      <w:r w:rsidRPr="00875574">
        <w:rPr>
          <w:rFonts w:hint="cs"/>
          <w:rtl/>
        </w:rPr>
        <w:t xml:space="preserve">מוגדרת על ידי אותם מוסדות  </w:t>
      </w:r>
      <w:r w:rsidR="00303B4E">
        <w:rPr>
          <w:rFonts w:hint="cs"/>
          <w:rtl/>
        </w:rPr>
        <w:t>כ</w:t>
      </w:r>
      <w:r w:rsidRPr="00875574">
        <w:rPr>
          <w:rFonts w:hint="cs"/>
          <w:rtl/>
        </w:rPr>
        <w:t xml:space="preserve">"תקורה", </w:t>
      </w:r>
      <w:r w:rsidR="00BD601B">
        <w:rPr>
          <w:rFonts w:hint="cs"/>
          <w:rtl/>
        </w:rPr>
        <w:t>כלומר</w:t>
      </w:r>
      <w:r w:rsidRPr="00875574">
        <w:rPr>
          <w:rFonts w:hint="cs"/>
          <w:rtl/>
        </w:rPr>
        <w:t xml:space="preserve"> תשלום </w:t>
      </w:r>
      <w:r w:rsidR="00E85900">
        <w:rPr>
          <w:rFonts w:hint="cs"/>
          <w:rtl/>
        </w:rPr>
        <w:t xml:space="preserve">עבור </w:t>
      </w:r>
      <w:r w:rsidRPr="00875574">
        <w:rPr>
          <w:rFonts w:hint="cs"/>
          <w:rtl/>
        </w:rPr>
        <w:t xml:space="preserve">מימון המנגנון המוסדי האמון על חלוקת המלגות. </w:t>
      </w:r>
    </w:p>
    <w:p w14:paraId="1F0A9623" w14:textId="6C4BB0AE" w:rsidR="00E2375D" w:rsidRPr="00875574" w:rsidRDefault="00E2375D" w:rsidP="00523CE1">
      <w:pPr>
        <w:pStyle w:val="Hesber"/>
        <w:spacing w:after="0" w:line="276" w:lineRule="auto"/>
        <w:ind w:left="0" w:firstLine="340"/>
        <w:rPr>
          <w:rtl/>
        </w:rPr>
      </w:pPr>
      <w:r w:rsidRPr="00875574">
        <w:rPr>
          <w:rFonts w:hint="cs"/>
          <w:rtl/>
        </w:rPr>
        <w:t xml:space="preserve">האינטרס </w:t>
      </w:r>
      <w:r w:rsidR="00E85900">
        <w:rPr>
          <w:rFonts w:hint="cs"/>
          <w:rtl/>
        </w:rPr>
        <w:t>ב</w:t>
      </w:r>
      <w:r w:rsidRPr="00875574">
        <w:rPr>
          <w:rFonts w:hint="cs"/>
          <w:rtl/>
        </w:rPr>
        <w:t xml:space="preserve">תרומת מלגה לסטודנט, בשונה מתרומה למוסד להשכלה גבוהה, </w:t>
      </w:r>
      <w:r w:rsidR="00E85900" w:rsidRPr="00875574">
        <w:rPr>
          <w:rFonts w:hint="cs"/>
          <w:rtl/>
        </w:rPr>
        <w:t>ה</w:t>
      </w:r>
      <w:r w:rsidR="00E85900">
        <w:rPr>
          <w:rFonts w:hint="cs"/>
          <w:rtl/>
        </w:rPr>
        <w:t>ו</w:t>
      </w:r>
      <w:r w:rsidR="00E85900" w:rsidRPr="00875574">
        <w:rPr>
          <w:rFonts w:hint="cs"/>
          <w:rtl/>
        </w:rPr>
        <w:t xml:space="preserve">א </w:t>
      </w:r>
      <w:r w:rsidR="00E85900">
        <w:rPr>
          <w:rFonts w:hint="cs"/>
          <w:rtl/>
        </w:rPr>
        <w:t>שה</w:t>
      </w:r>
      <w:r w:rsidRPr="00875574">
        <w:rPr>
          <w:rFonts w:hint="cs"/>
          <w:rtl/>
        </w:rPr>
        <w:t xml:space="preserve">כסף </w:t>
      </w:r>
      <w:r w:rsidR="00E85900">
        <w:rPr>
          <w:rFonts w:hint="cs"/>
          <w:rtl/>
        </w:rPr>
        <w:t xml:space="preserve">הנתרם מיועד </w:t>
      </w:r>
      <w:r w:rsidRPr="00875574">
        <w:rPr>
          <w:rFonts w:hint="cs"/>
          <w:rtl/>
        </w:rPr>
        <w:t xml:space="preserve">עבור הסטודנט עצמו. ככל שאחוז התקורה </w:t>
      </w:r>
      <w:r w:rsidR="00E85900">
        <w:rPr>
          <w:rFonts w:hint="cs"/>
          <w:rtl/>
        </w:rPr>
        <w:t>האמורה</w:t>
      </w:r>
      <w:r w:rsidRPr="00875574">
        <w:rPr>
          <w:rFonts w:hint="cs"/>
          <w:rtl/>
        </w:rPr>
        <w:t xml:space="preserve"> הוא גבוה יותר, כך באופן טבעי פוחת התמריץ של נותן התרומה להעביר את תרומתו באמצעות אותו מוסד להשכלה גבוהה. </w:t>
      </w:r>
      <w:r w:rsidR="00E85900">
        <w:rPr>
          <w:rFonts w:hint="cs"/>
          <w:rtl/>
        </w:rPr>
        <w:t>זאת ועוד</w:t>
      </w:r>
      <w:r w:rsidRPr="00875574">
        <w:rPr>
          <w:rFonts w:hint="cs"/>
          <w:rtl/>
        </w:rPr>
        <w:t xml:space="preserve">, סטודנטים הלומדים במוסד להשכלה גבוהה שגובה אחוז תקורה גבוה יחסית, מופלים לרעה לעומת סטודנטים </w:t>
      </w:r>
      <w:r w:rsidR="00E85900">
        <w:rPr>
          <w:rFonts w:hint="cs"/>
          <w:rtl/>
        </w:rPr>
        <w:t xml:space="preserve">אחרים </w:t>
      </w:r>
      <w:r w:rsidRPr="00875574">
        <w:rPr>
          <w:rFonts w:hint="cs"/>
          <w:rtl/>
        </w:rPr>
        <w:t xml:space="preserve">הלומדים במוסד להשכלה גבוהה שגובה אחוז תקורה נמוך יותר או שכלל אינו גובה תקורה. </w:t>
      </w:r>
    </w:p>
    <w:p w14:paraId="742E7462" w14:textId="2C553638" w:rsidR="00E2375D" w:rsidRDefault="00E2375D" w:rsidP="00523CE1">
      <w:pPr>
        <w:pStyle w:val="Hesber"/>
        <w:spacing w:after="0" w:line="276" w:lineRule="auto"/>
        <w:ind w:left="0" w:firstLine="340"/>
        <w:rPr>
          <w:rtl/>
        </w:rPr>
      </w:pPr>
      <w:r w:rsidRPr="00875574">
        <w:rPr>
          <w:rFonts w:hint="cs"/>
          <w:rtl/>
        </w:rPr>
        <w:t xml:space="preserve">על כן מוצע </w:t>
      </w:r>
      <w:r w:rsidR="00E85900">
        <w:rPr>
          <w:rFonts w:hint="cs"/>
          <w:rtl/>
        </w:rPr>
        <w:t>בהצעת החוק</w:t>
      </w:r>
      <w:r w:rsidRPr="00875574">
        <w:rPr>
          <w:rFonts w:hint="cs"/>
          <w:rtl/>
        </w:rPr>
        <w:t xml:space="preserve"> </w:t>
      </w:r>
      <w:r w:rsidR="00E85900">
        <w:rPr>
          <w:rFonts w:hint="cs"/>
          <w:rtl/>
        </w:rPr>
        <w:t>כי</w:t>
      </w:r>
      <w:r w:rsidRPr="00875574">
        <w:rPr>
          <w:rFonts w:hint="cs"/>
          <w:rtl/>
        </w:rPr>
        <w:t xml:space="preserve"> כל המוסדות להשכלה גבוהה בישראל </w:t>
      </w:r>
      <w:r w:rsidR="00E85900">
        <w:rPr>
          <w:rFonts w:hint="cs"/>
          <w:rtl/>
        </w:rPr>
        <w:t>יוכל</w:t>
      </w:r>
      <w:r w:rsidR="003F4245">
        <w:rPr>
          <w:rFonts w:hint="cs"/>
          <w:rtl/>
        </w:rPr>
        <w:t>ו</w:t>
      </w:r>
      <w:r w:rsidR="00E85900">
        <w:rPr>
          <w:rFonts w:hint="cs"/>
          <w:rtl/>
        </w:rPr>
        <w:t xml:space="preserve"> לגבות עמלה</w:t>
      </w:r>
      <w:r w:rsidR="00E85900" w:rsidRPr="00875574">
        <w:rPr>
          <w:rFonts w:hint="cs"/>
          <w:rtl/>
        </w:rPr>
        <w:t xml:space="preserve"> </w:t>
      </w:r>
      <w:r w:rsidR="00E85900">
        <w:rPr>
          <w:rFonts w:hint="cs"/>
          <w:rtl/>
        </w:rPr>
        <w:t>בגין המלגה הנתרמת לסטודנט ב</w:t>
      </w:r>
      <w:r w:rsidRPr="00875574">
        <w:rPr>
          <w:rFonts w:hint="cs"/>
          <w:rtl/>
        </w:rPr>
        <w:t>שיעור שלא יעלה על אחוז אחד מסך התרומה.</w:t>
      </w:r>
      <w:bookmarkStart w:id="8" w:name="_GoBack"/>
      <w:bookmarkEnd w:id="8"/>
    </w:p>
    <w:p w14:paraId="7262CA6A" w14:textId="77777777" w:rsidR="00BD601B" w:rsidRPr="00D73212" w:rsidRDefault="00BD601B" w:rsidP="00BD601B">
      <w:pPr>
        <w:pStyle w:val="Hesber"/>
        <w:rPr>
          <w:rtl/>
        </w:rPr>
      </w:pPr>
      <w:r w:rsidRPr="00D73212">
        <w:rPr>
          <w:rtl/>
        </w:rPr>
        <w:t>---------------------------------</w:t>
      </w:r>
    </w:p>
    <w:p w14:paraId="52FC2CBB" w14:textId="77777777" w:rsidR="00BD601B" w:rsidRPr="00D73212" w:rsidRDefault="00BD601B" w:rsidP="00BD601B">
      <w:pPr>
        <w:pStyle w:val="Hesber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14:paraId="2F4CF540" w14:textId="77777777" w:rsidR="00BD601B" w:rsidRPr="00D73212" w:rsidRDefault="00BD601B" w:rsidP="00BD601B">
      <w:pPr>
        <w:pStyle w:val="Hesber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14:paraId="366960A2" w14:textId="77777777" w:rsidR="00BD601B" w:rsidRPr="00317312" w:rsidRDefault="00BD601B" w:rsidP="00BD601B">
      <w:pPr>
        <w:pStyle w:val="Hesber"/>
      </w:pPr>
      <w:r>
        <w:rPr>
          <w:rFonts w:hint="cs"/>
          <w:rtl/>
        </w:rPr>
        <w:t>ו' באב</w:t>
      </w:r>
      <w:r w:rsidRPr="00D73212">
        <w:rPr>
          <w:rtl/>
        </w:rPr>
        <w:t xml:space="preserve"> </w:t>
      </w:r>
      <w:proofErr w:type="spellStart"/>
      <w:r w:rsidRPr="00D73212">
        <w:rPr>
          <w:rFonts w:hint="cs"/>
          <w:rtl/>
        </w:rPr>
        <w:t>התשע</w:t>
      </w:r>
      <w:r w:rsidRPr="00D73212">
        <w:rPr>
          <w:rtl/>
        </w:rPr>
        <w:t>"</w:t>
      </w:r>
      <w:r>
        <w:rPr>
          <w:rFonts w:hint="cs"/>
          <w:rtl/>
        </w:rPr>
        <w:t>ח</w:t>
      </w:r>
      <w:proofErr w:type="spellEnd"/>
      <w:r w:rsidRPr="00D73212">
        <w:rPr>
          <w:rtl/>
        </w:rPr>
        <w:t xml:space="preserve"> – </w:t>
      </w:r>
      <w:r>
        <w:rPr>
          <w:rFonts w:hint="cs"/>
          <w:rtl/>
        </w:rPr>
        <w:t>18.7</w:t>
      </w:r>
      <w:r w:rsidRPr="00D73212">
        <w:rPr>
          <w:rtl/>
        </w:rPr>
        <w:t>.</w:t>
      </w:r>
      <w:r>
        <w:rPr>
          <w:rFonts w:hint="cs"/>
          <w:rtl/>
        </w:rPr>
        <w:t>18</w:t>
      </w:r>
    </w:p>
    <w:p w14:paraId="721D8ACD" w14:textId="77777777" w:rsidR="00BD601B" w:rsidRPr="00875574" w:rsidRDefault="00BD601B" w:rsidP="003F4245">
      <w:pPr>
        <w:pStyle w:val="Hesber"/>
        <w:spacing w:after="0"/>
        <w:ind w:left="0" w:firstLine="340"/>
      </w:pPr>
    </w:p>
    <w:sectPr w:rsidR="00BD601B" w:rsidRPr="00875574" w:rsidSect="00067800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523CE1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3EC3676E" w14:textId="5D266159" w:rsidR="00067800" w:rsidRDefault="00067800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התשי"ח</w:t>
      </w:r>
      <w:proofErr w:type="spellEnd"/>
      <w:r>
        <w:rPr>
          <w:rFonts w:hint="cs"/>
          <w:rtl/>
        </w:rPr>
        <w:t xml:space="preserve">, עמ' 191.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A64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7C67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9A8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F06F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6640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567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6C2E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36B9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02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82B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F5DDC"/>
    <w:multiLevelType w:val="hybridMultilevel"/>
    <w:tmpl w:val="27E6EFCA"/>
    <w:lvl w:ilvl="0" w:tplc="9C1A09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4"/>
  </w:num>
  <w:num w:numId="17">
    <w:abstractNumId w:val="14"/>
    <w:lvlOverride w:ilvl="0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67800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03B4E"/>
    <w:rsid w:val="003232A2"/>
    <w:rsid w:val="00325C14"/>
    <w:rsid w:val="0036422C"/>
    <w:rsid w:val="003710F6"/>
    <w:rsid w:val="00386E88"/>
    <w:rsid w:val="00396585"/>
    <w:rsid w:val="003D6E38"/>
    <w:rsid w:val="003D74A0"/>
    <w:rsid w:val="003F4245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23CE1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75574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B5DBB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D601B"/>
    <w:rsid w:val="00BF148D"/>
    <w:rsid w:val="00C23B1A"/>
    <w:rsid w:val="00C310EB"/>
    <w:rsid w:val="00C9176A"/>
    <w:rsid w:val="00C96BDD"/>
    <w:rsid w:val="00CF1AA2"/>
    <w:rsid w:val="00D142D3"/>
    <w:rsid w:val="00D17774"/>
    <w:rsid w:val="00D63620"/>
    <w:rsid w:val="00D8410D"/>
    <w:rsid w:val="00D867D7"/>
    <w:rsid w:val="00DB7060"/>
    <w:rsid w:val="00DD674C"/>
    <w:rsid w:val="00DE3153"/>
    <w:rsid w:val="00E06736"/>
    <w:rsid w:val="00E13C27"/>
    <w:rsid w:val="00E2375D"/>
    <w:rsid w:val="00E33BBD"/>
    <w:rsid w:val="00E374F2"/>
    <w:rsid w:val="00E45103"/>
    <w:rsid w:val="00E55A60"/>
    <w:rsid w:val="00E62778"/>
    <w:rsid w:val="00E635A2"/>
    <w:rsid w:val="00E63D38"/>
    <w:rsid w:val="00E665B9"/>
    <w:rsid w:val="00E85900"/>
    <w:rsid w:val="00EA01E6"/>
    <w:rsid w:val="00EA23F8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1F9C4B5-7CE4-403A-BD72-7EF57914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00"/>
    <w:pPr>
      <w:widowControl w:val="0"/>
      <w:bidi/>
      <w:spacing w:after="160"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7800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067800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067800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067800"/>
    <w:pPr>
      <w:numPr>
        <w:numId w:val="17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67800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067800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067800"/>
    <w:rPr>
      <w:sz w:val="36"/>
      <w:szCs w:val="52"/>
    </w:rPr>
  </w:style>
  <w:style w:type="paragraph" w:customStyle="1" w:styleId="Cover3-Haknesset">
    <w:name w:val="Cover 3-Haknesset"/>
    <w:basedOn w:val="Cover1-Reshumot"/>
    <w:rsid w:val="00067800"/>
    <w:rPr>
      <w:b/>
      <w:bCs/>
      <w:spacing w:val="60"/>
    </w:rPr>
  </w:style>
  <w:style w:type="paragraph" w:customStyle="1" w:styleId="Cover4-Date">
    <w:name w:val="Cover 4-Date"/>
    <w:basedOn w:val="a"/>
    <w:rsid w:val="00067800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067800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067800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067800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067800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067800"/>
    <w:pPr>
      <w:keepLines/>
      <w:tabs>
        <w:tab w:val="left" w:pos="624"/>
        <w:tab w:val="left" w:pos="1247"/>
      </w:tabs>
      <w:snapToGrid w:val="0"/>
      <w:spacing w:after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067800"/>
    <w:pPr>
      <w:outlineLvl w:val="2"/>
    </w:pPr>
  </w:style>
  <w:style w:type="paragraph" w:customStyle="1" w:styleId="TableBlock">
    <w:name w:val="Table Block"/>
    <w:basedOn w:val="TableText"/>
    <w:rsid w:val="00067800"/>
    <w:pPr>
      <w:jc w:val="both"/>
    </w:pPr>
  </w:style>
  <w:style w:type="paragraph" w:customStyle="1" w:styleId="TableHead">
    <w:name w:val="Table Head"/>
    <w:basedOn w:val="TableText"/>
    <w:rsid w:val="00067800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067800"/>
    <w:pPr>
      <w:outlineLvl w:val="9"/>
    </w:pPr>
  </w:style>
  <w:style w:type="paragraph" w:customStyle="1" w:styleId="Hesber">
    <w:name w:val="Hesber"/>
    <w:basedOn w:val="a"/>
    <w:rsid w:val="00067800"/>
    <w:pPr>
      <w:snapToGrid w:val="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067800"/>
    <w:pPr>
      <w:snapToGrid w:val="0"/>
      <w:spacing w:line="240" w:lineRule="auto"/>
      <w:ind w:left="227" w:hanging="227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067800"/>
    <w:rPr>
      <w:vertAlign w:val="superscript"/>
    </w:rPr>
  </w:style>
  <w:style w:type="paragraph" w:customStyle="1" w:styleId="HesberHeading">
    <w:name w:val="Hesber Heading"/>
    <w:basedOn w:val="Hesber"/>
    <w:rsid w:val="00067800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067800"/>
    <w:pPr>
      <w:spacing w:before="120" w:after="600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067800"/>
    <w:pPr>
      <w:tabs>
        <w:tab w:val="left" w:pos="680"/>
        <w:tab w:val="left" w:pos="1020"/>
      </w:tabs>
      <w:ind w:left="0"/>
    </w:pPr>
  </w:style>
  <w:style w:type="character" w:styleId="a6">
    <w:name w:val="endnote reference"/>
    <w:basedOn w:val="a0"/>
    <w:semiHidden/>
    <w:rsid w:val="00067800"/>
    <w:rPr>
      <w:vertAlign w:val="superscript"/>
    </w:rPr>
  </w:style>
  <w:style w:type="paragraph" w:customStyle="1" w:styleId="TableBlockOutdent">
    <w:name w:val="Table BlockOutdent"/>
    <w:basedOn w:val="TableBlock"/>
    <w:rsid w:val="00067800"/>
    <w:pPr>
      <w:ind w:left="624" w:hanging="624"/>
    </w:pPr>
  </w:style>
  <w:style w:type="paragraph" w:styleId="a7">
    <w:name w:val="header"/>
    <w:basedOn w:val="a"/>
    <w:rsid w:val="00067800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67800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067800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067800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067800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067800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067800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067800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067800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067800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067800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067800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067800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067800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067800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067800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067800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067800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067800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067800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067800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067800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067800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067800"/>
    <w:rPr>
      <w:rFonts w:eastAsia="Times New Roman"/>
    </w:rPr>
  </w:style>
  <w:style w:type="paragraph" w:styleId="ae">
    <w:name w:val="List Paragraph"/>
    <w:basedOn w:val="a"/>
    <w:uiPriority w:val="34"/>
    <w:qFormat/>
    <w:rsid w:val="00067800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06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678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0678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067800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067800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5BE9D-2C2C-47E4-A9DE-E9668B94E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928766-28C0-48FF-879D-E323927F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294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14</cp:revision>
  <cp:lastPrinted>2018-07-17T08:15:00Z</cp:lastPrinted>
  <dcterms:created xsi:type="dcterms:W3CDTF">2015-04-20T09:58:00Z</dcterms:created>
  <dcterms:modified xsi:type="dcterms:W3CDTF">2018-07-17T08:39:00Z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2072534</vt:r8>
  </property>
</Properties>
</file>