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cs="David"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cs="David" w:hint="cs"/>
          <w:sz w:val="20"/>
          <w:szCs w:val="20"/>
          <w:rtl/>
        </w:rPr>
        <w:t>2070805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יוזמות:      חברות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יעל גרמן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עליזה לביא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שולי מועלם-רפאלי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C" w14:textId="28EB3C88" w:rsidR="00E13C27" w:rsidRDefault="00904591" w:rsidP="00A95C14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פ/5502/20</w:t>
      </w:r>
      <w:bookmarkEnd w:id="6"/>
    </w:p>
    <w:p w14:paraId="7F6961AD" w14:textId="5ED6A1AA" w:rsidR="00E13C27" w:rsidRPr="00F67051" w:rsidRDefault="00A443CF" w:rsidP="0021633A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בתי דין רבניים (קיום פסקי דין של גירושין) (תיקון – הגבלת זכאות לקבלת סיוע משפטי במימון המדינה לסרבני גט), התשע"ח–2018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tblStyle w:val="TableNormal"/>
        <w:bidiVisual/>
        <w:tblW w:w="96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7515"/>
      </w:tblGrid>
      <w:tr w:rsidR="007068A9" w14:paraId="1709E573" w14:textId="77777777" w:rsidTr="00C2796B">
        <w:trPr>
          <w:trHeight w:val="74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0517" w14:textId="77777777" w:rsidR="007068A9" w:rsidRDefault="007068A9" w:rsidP="00184E83">
            <w:pPr>
              <w:pStyle w:val="TableBlock"/>
            </w:pPr>
            <w:r>
              <w:rPr>
                <w:rFonts w:ascii="David" w:eastAsia="David" w:hAnsi="David" w:hint="cs"/>
                <w:sz w:val="26"/>
                <w:rtl/>
                <w:lang w:val="he-IL"/>
              </w:rPr>
              <w:t xml:space="preserve">תיקון סעיף </w:t>
            </w:r>
            <w:r>
              <w:rPr>
                <w:rFonts w:ascii="David" w:eastAsia="David" w:hAnsi="David"/>
                <w:sz w:val="26"/>
                <w:rtl/>
                <w:lang w:val="he-I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D2117" w14:textId="77777777" w:rsidR="007068A9" w:rsidRPr="00047E33" w:rsidRDefault="007068A9" w:rsidP="00047E33">
            <w:pPr>
              <w:pStyle w:val="TableText"/>
              <w:ind w:right="0"/>
              <w:jc w:val="both"/>
            </w:pPr>
            <w:r>
              <w:rPr>
                <w:rtl/>
                <w:lang w:val="he-IL"/>
              </w:rPr>
              <w:t>1.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521C" w14:textId="6D4BBBF1" w:rsidR="007068A9" w:rsidRDefault="007068A9" w:rsidP="00047E33">
            <w:pPr>
              <w:pStyle w:val="TableBlock"/>
            </w:pPr>
            <w:r>
              <w:rPr>
                <w:rFonts w:hint="cs"/>
                <w:rtl/>
                <w:lang w:val="he-IL"/>
              </w:rPr>
              <w:t xml:space="preserve">בחוק בתי דין רבניים </w:t>
            </w:r>
            <w:r>
              <w:rPr>
                <w:rtl/>
                <w:lang w:val="he-IL"/>
              </w:rPr>
              <w:t>(</w:t>
            </w:r>
            <w:r>
              <w:rPr>
                <w:rFonts w:hint="cs"/>
                <w:rtl/>
                <w:lang w:val="he-IL"/>
              </w:rPr>
              <w:t>קיום פסקי דין של גירושין</w:t>
            </w:r>
            <w:r>
              <w:rPr>
                <w:rtl/>
                <w:lang w:val="he-IL"/>
              </w:rPr>
              <w:t xml:space="preserve">), </w:t>
            </w:r>
            <w:r>
              <w:rPr>
                <w:rFonts w:hint="cs"/>
                <w:rtl/>
                <w:lang w:val="he-IL"/>
              </w:rPr>
              <w:t>התשנ</w:t>
            </w:r>
            <w:r>
              <w:rPr>
                <w:rtl/>
                <w:lang w:val="he-IL"/>
              </w:rPr>
              <w:t>"</w:t>
            </w:r>
            <w:r>
              <w:rPr>
                <w:rFonts w:hint="cs"/>
                <w:rtl/>
                <w:lang w:val="he-IL"/>
              </w:rPr>
              <w:t>ה</w:t>
            </w:r>
            <w:r>
              <w:rPr>
                <w:rtl/>
                <w:lang w:val="he-IL"/>
              </w:rPr>
              <w:t>–1995</w:t>
            </w:r>
            <w:r w:rsidR="00C2796B">
              <w:rPr>
                <w:rStyle w:val="a5"/>
                <w:rFonts w:ascii="David" w:eastAsia="David" w:hAnsi="David"/>
                <w:sz w:val="26"/>
                <w:rtl/>
                <w:lang w:val="he-IL"/>
              </w:rPr>
              <w:footnoteReference w:id="2"/>
            </w:r>
            <w:r>
              <w:rPr>
                <w:rtl/>
                <w:lang w:val="he-IL"/>
              </w:rPr>
              <w:t xml:space="preserve">, </w:t>
            </w:r>
            <w:r>
              <w:rPr>
                <w:rFonts w:hint="cs"/>
                <w:rtl/>
                <w:lang w:val="he-IL"/>
              </w:rPr>
              <w:t xml:space="preserve">בסעיף </w:t>
            </w:r>
            <w:r>
              <w:rPr>
                <w:rtl/>
                <w:lang w:val="he-IL"/>
              </w:rPr>
              <w:t>2(</w:t>
            </w:r>
            <w:r>
              <w:rPr>
                <w:rFonts w:hint="cs"/>
                <w:rtl/>
                <w:lang w:val="he-IL"/>
              </w:rPr>
              <w:t>א</w:t>
            </w:r>
            <w:r>
              <w:rPr>
                <w:rtl/>
                <w:lang w:val="he-IL"/>
              </w:rPr>
              <w:t xml:space="preserve">), </w:t>
            </w:r>
            <w:r>
              <w:rPr>
                <w:rFonts w:hint="cs"/>
                <w:rtl/>
                <w:lang w:val="he-IL"/>
              </w:rPr>
              <w:t xml:space="preserve">אחרי </w:t>
            </w:r>
            <w:r w:rsidRPr="00047E33">
              <w:rPr>
                <w:rFonts w:hint="cs"/>
                <w:rtl/>
              </w:rPr>
              <w:t>פסקה</w:t>
            </w:r>
            <w:r>
              <w:rPr>
                <w:rFonts w:hint="cs"/>
                <w:rtl/>
                <w:lang w:val="he-IL"/>
              </w:rPr>
              <w:t xml:space="preserve"> </w:t>
            </w:r>
            <w:r>
              <w:rPr>
                <w:rtl/>
                <w:lang w:val="he-IL"/>
              </w:rPr>
              <w:t xml:space="preserve">(6) </w:t>
            </w:r>
            <w:r>
              <w:rPr>
                <w:rFonts w:hint="cs"/>
                <w:rtl/>
                <w:lang w:val="he-IL"/>
              </w:rPr>
              <w:t>יבוא</w:t>
            </w:r>
            <w:r>
              <w:rPr>
                <w:rtl/>
                <w:lang w:val="he-IL"/>
              </w:rPr>
              <w:t>:</w:t>
            </w:r>
          </w:p>
        </w:tc>
      </w:tr>
      <w:tr w:rsidR="007068A9" w14:paraId="4710DA5D" w14:textId="77777777" w:rsidTr="007068A9">
        <w:trPr>
          <w:trHeight w:val="34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2831" w14:textId="77777777" w:rsidR="007068A9" w:rsidRDefault="007068A9" w:rsidP="00184E8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E194" w14:textId="77777777" w:rsidR="007068A9" w:rsidRDefault="007068A9" w:rsidP="00184E83"/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B552" w14:textId="065B44EC" w:rsidR="007068A9" w:rsidRPr="00047E33" w:rsidRDefault="007068A9" w:rsidP="00047E33">
            <w:pPr>
              <w:pStyle w:val="TableBlock"/>
            </w:pPr>
            <w:r>
              <w:rPr>
                <w:rtl/>
                <w:lang w:val="he-IL"/>
              </w:rPr>
              <w:t>"(6</w:t>
            </w:r>
            <w:r>
              <w:rPr>
                <w:rFonts w:hint="cs"/>
                <w:rtl/>
                <w:lang w:val="he-IL"/>
              </w:rPr>
              <w:t>א</w:t>
            </w:r>
            <w:r>
              <w:rPr>
                <w:rtl/>
                <w:lang w:val="he-IL"/>
              </w:rPr>
              <w:t>)</w:t>
            </w:r>
            <w:r>
              <w:rPr>
                <w:rtl/>
                <w:lang w:val="he-IL"/>
              </w:rPr>
              <w:tab/>
            </w:r>
            <w:r>
              <w:rPr>
                <w:rFonts w:hint="cs"/>
                <w:rtl/>
                <w:lang w:val="he-IL"/>
              </w:rPr>
              <w:t xml:space="preserve">לקבל סיוע משפטי על פי </w:t>
            </w:r>
            <w:r w:rsidR="00AB795A">
              <w:rPr>
                <w:rFonts w:hint="cs"/>
                <w:rtl/>
                <w:lang w:val="he-IL"/>
              </w:rPr>
              <w:t>הוראות שנקבעו ב</w:t>
            </w:r>
            <w:r>
              <w:rPr>
                <w:rFonts w:hint="cs"/>
                <w:rtl/>
                <w:lang w:val="he-IL"/>
              </w:rPr>
              <w:t>חוק הסיוע המשפטי</w:t>
            </w:r>
            <w:r>
              <w:rPr>
                <w:rtl/>
                <w:lang w:val="he-IL"/>
              </w:rPr>
              <w:t xml:space="preserve">, </w:t>
            </w:r>
            <w:r w:rsidR="00C2796B">
              <w:rPr>
                <w:rFonts w:hint="cs"/>
                <w:rtl/>
                <w:lang w:val="he-IL"/>
              </w:rPr>
              <w:t>ה</w:t>
            </w:r>
            <w:r>
              <w:rPr>
                <w:rFonts w:hint="cs"/>
                <w:rtl/>
                <w:lang w:val="he-IL"/>
              </w:rPr>
              <w:t>תשל״ב</w:t>
            </w:r>
            <w:r w:rsidR="00C2796B">
              <w:rPr>
                <w:rFonts w:hint="cs"/>
                <w:rtl/>
                <w:lang w:val="he-IL"/>
              </w:rPr>
              <w:t>–</w:t>
            </w:r>
            <w:r>
              <w:rPr>
                <w:rtl/>
                <w:lang w:val="he-IL"/>
              </w:rPr>
              <w:t>1972</w:t>
            </w:r>
            <w:r w:rsidR="007A25EA">
              <w:rPr>
                <w:rStyle w:val="a5"/>
                <w:rFonts w:ascii="David" w:eastAsia="David" w:hAnsi="David"/>
                <w:sz w:val="26"/>
                <w:rtl/>
                <w:lang w:val="he-IL"/>
              </w:rPr>
              <w:footnoteReference w:id="3"/>
            </w:r>
            <w:r w:rsidR="00AB795A">
              <w:rPr>
                <w:rFonts w:hint="cs"/>
                <w:rtl/>
                <w:lang w:val="he-IL"/>
              </w:rPr>
              <w:t xml:space="preserve">, או </w:t>
            </w:r>
            <w:r w:rsidR="00AB795A" w:rsidRPr="00047E33">
              <w:rPr>
                <w:rFonts w:hint="cs"/>
                <w:rtl/>
              </w:rPr>
              <w:t>בתקנות</w:t>
            </w:r>
            <w:r w:rsidR="00AB795A">
              <w:rPr>
                <w:rFonts w:hint="cs"/>
                <w:rtl/>
                <w:lang w:val="he-IL"/>
              </w:rPr>
              <w:t xml:space="preserve"> שהותקנו לפיו</w:t>
            </w:r>
            <w:r>
              <w:rPr>
                <w:rtl/>
                <w:lang w:val="he-IL"/>
              </w:rPr>
              <w:t>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504E5B0" w14:textId="77777777" w:rsidR="007068A9" w:rsidRDefault="007068A9" w:rsidP="003F0BF6">
      <w:pPr>
        <w:pStyle w:val="Hesber"/>
        <w:rPr>
          <w:rFonts w:ascii="David" w:eastAsia="David" w:hAnsi="David"/>
          <w:sz w:val="26"/>
          <w:rtl/>
          <w:lang w:val="he-IL"/>
        </w:rPr>
      </w:pPr>
      <w:r>
        <w:rPr>
          <w:rFonts w:ascii="David" w:eastAsia="David" w:hAnsi="David" w:hint="cs"/>
          <w:sz w:val="26"/>
          <w:rtl/>
          <w:lang w:val="he-IL"/>
        </w:rPr>
        <w:t xml:space="preserve">חוק בתי דין רבניים </w:t>
      </w:r>
      <w:r>
        <w:rPr>
          <w:rFonts w:ascii="David" w:eastAsia="David" w:hAnsi="David"/>
          <w:sz w:val="26"/>
          <w:rtl/>
          <w:lang w:val="he-IL"/>
        </w:rPr>
        <w:t>(</w:t>
      </w:r>
      <w:r>
        <w:rPr>
          <w:rFonts w:ascii="David" w:eastAsia="David" w:hAnsi="David" w:hint="cs"/>
          <w:sz w:val="26"/>
          <w:rtl/>
          <w:lang w:val="he-IL"/>
        </w:rPr>
        <w:t>קיום פסקי דין של גירושין</w:t>
      </w:r>
      <w:r>
        <w:rPr>
          <w:rFonts w:ascii="David" w:eastAsia="David" w:hAnsi="David"/>
          <w:sz w:val="26"/>
          <w:rtl/>
          <w:lang w:val="he-IL"/>
        </w:rPr>
        <w:t xml:space="preserve">), </w:t>
      </w:r>
      <w:r>
        <w:rPr>
          <w:rFonts w:ascii="David" w:eastAsia="David" w:hAnsi="David" w:hint="cs"/>
          <w:sz w:val="26"/>
          <w:rtl/>
          <w:lang w:val="he-IL"/>
        </w:rPr>
        <w:t>התשנ</w:t>
      </w:r>
      <w:r>
        <w:rPr>
          <w:rFonts w:ascii="David" w:eastAsia="David" w:hAnsi="David"/>
          <w:sz w:val="26"/>
          <w:rtl/>
          <w:lang w:val="he-IL"/>
        </w:rPr>
        <w:t>"</w:t>
      </w:r>
      <w:r>
        <w:rPr>
          <w:rFonts w:ascii="David" w:eastAsia="David" w:hAnsi="David" w:hint="cs"/>
          <w:sz w:val="26"/>
          <w:rtl/>
          <w:lang w:val="he-IL"/>
        </w:rPr>
        <w:t>ה</w:t>
      </w:r>
      <w:r>
        <w:rPr>
          <w:rFonts w:ascii="David" w:eastAsia="David" w:hAnsi="David"/>
          <w:sz w:val="26"/>
          <w:rtl/>
          <w:lang w:val="he-IL"/>
        </w:rPr>
        <w:t>–1995 (</w:t>
      </w:r>
      <w:r>
        <w:rPr>
          <w:rFonts w:ascii="David" w:eastAsia="David" w:hAnsi="David" w:hint="cs"/>
          <w:sz w:val="26"/>
          <w:rtl/>
          <w:lang w:val="he-IL"/>
        </w:rPr>
        <w:t xml:space="preserve">להלן </w:t>
      </w:r>
      <w:r>
        <w:rPr>
          <w:rFonts w:ascii="David" w:eastAsia="David" w:hAnsi="David"/>
          <w:sz w:val="26"/>
          <w:rtl/>
          <w:lang w:val="he-IL"/>
        </w:rPr>
        <w:t xml:space="preserve">– </w:t>
      </w:r>
      <w:r>
        <w:rPr>
          <w:rFonts w:ascii="David" w:eastAsia="David" w:hAnsi="David" w:hint="cs"/>
          <w:sz w:val="26"/>
          <w:rtl/>
          <w:lang w:val="he-IL"/>
        </w:rPr>
        <w:t>החוק</w:t>
      </w:r>
      <w:r>
        <w:rPr>
          <w:rFonts w:ascii="David" w:eastAsia="David" w:hAnsi="David"/>
          <w:sz w:val="26"/>
          <w:rtl/>
          <w:lang w:val="he-IL"/>
        </w:rPr>
        <w:t xml:space="preserve">), </w:t>
      </w:r>
      <w:r>
        <w:rPr>
          <w:rFonts w:ascii="David" w:eastAsia="David" w:hAnsi="David" w:hint="cs"/>
          <w:sz w:val="26"/>
          <w:rtl/>
          <w:lang w:val="he-IL"/>
        </w:rPr>
        <w:t>נועד להביא לצמצום התופעה הקשה של סרבנות גט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>באמצעות הסמכת בתי הדין הרבניים להטיל צווי הגבלה שונים על סרבנים</w:t>
      </w:r>
      <w:r>
        <w:rPr>
          <w:rFonts w:ascii="David" w:eastAsia="David" w:hAnsi="David"/>
          <w:sz w:val="26"/>
          <w:rtl/>
          <w:lang w:val="he-IL"/>
        </w:rPr>
        <w:t xml:space="preserve"> </w:t>
      </w:r>
      <w:r>
        <w:rPr>
          <w:rFonts w:ascii="David" w:eastAsia="David" w:hAnsi="David" w:hint="cs"/>
          <w:sz w:val="26"/>
          <w:rtl/>
          <w:lang w:val="he-IL"/>
        </w:rPr>
        <w:t>כאמור</w:t>
      </w:r>
      <w:r>
        <w:rPr>
          <w:rFonts w:ascii="David" w:eastAsia="David" w:hAnsi="David"/>
          <w:sz w:val="26"/>
          <w:rtl/>
          <w:lang w:val="he-IL"/>
        </w:rPr>
        <w:t xml:space="preserve">. </w:t>
      </w:r>
      <w:r>
        <w:rPr>
          <w:rFonts w:ascii="David" w:eastAsia="David" w:hAnsi="David" w:hint="cs"/>
          <w:sz w:val="26"/>
          <w:rtl/>
          <w:lang w:val="he-IL"/>
        </w:rPr>
        <w:t>בין היתר מוסמך בית הדין הרבני להטיל הגבלות על זכותו של סרבן גט לצאת מהארץ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>לקבל דרכון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>להחזיק ברישיון נהיגה ואף להטיל</w:t>
      </w:r>
      <w:r>
        <w:rPr>
          <w:rFonts w:ascii="David" w:eastAsia="David" w:hAnsi="David"/>
          <w:sz w:val="26"/>
          <w:rtl/>
          <w:lang w:val="he-IL"/>
        </w:rPr>
        <w:t xml:space="preserve"> </w:t>
      </w:r>
      <w:r>
        <w:rPr>
          <w:rFonts w:ascii="David" w:eastAsia="David" w:hAnsi="David" w:hint="cs"/>
          <w:sz w:val="26"/>
          <w:rtl/>
          <w:lang w:val="he-IL"/>
        </w:rPr>
        <w:t>עליו צו מאסר</w:t>
      </w:r>
      <w:r>
        <w:rPr>
          <w:rFonts w:ascii="David" w:eastAsia="David" w:hAnsi="David"/>
          <w:sz w:val="26"/>
          <w:rtl/>
          <w:lang w:val="he-IL"/>
        </w:rPr>
        <w:t>.</w:t>
      </w:r>
    </w:p>
    <w:p w14:paraId="57EC9290" w14:textId="77777777" w:rsidR="007068A9" w:rsidRDefault="007068A9" w:rsidP="003F0BF6">
      <w:pPr>
        <w:pStyle w:val="Hesber"/>
        <w:rPr>
          <w:rFonts w:ascii="David" w:eastAsia="David" w:hAnsi="David"/>
          <w:sz w:val="26"/>
          <w:rtl/>
          <w:lang w:val="he-IL"/>
        </w:rPr>
      </w:pPr>
      <w:r>
        <w:rPr>
          <w:rFonts w:ascii="David" w:eastAsia="David" w:hAnsi="David" w:hint="cs"/>
          <w:sz w:val="26"/>
          <w:rtl/>
          <w:lang w:val="he-IL"/>
        </w:rPr>
        <w:t>סירוב לתת גט פוגע פגיעה קשה בזכויות בן הזוג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>ובכלל זה בזכותו לחירות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>לכבוד ולזוגיות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>ולעתים אף</w:t>
      </w:r>
      <w:r>
        <w:rPr>
          <w:rFonts w:ascii="David" w:eastAsia="David" w:hAnsi="David"/>
          <w:sz w:val="26"/>
          <w:rtl/>
          <w:lang w:val="he-IL"/>
        </w:rPr>
        <w:t xml:space="preserve"> </w:t>
      </w:r>
      <w:r>
        <w:rPr>
          <w:rFonts w:ascii="David" w:eastAsia="David" w:hAnsi="David" w:hint="cs"/>
          <w:sz w:val="26"/>
          <w:rtl/>
          <w:lang w:val="he-IL"/>
        </w:rPr>
        <w:t>בזכותו להורות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>ולכן יש הצדקה בהטלת מגבלות על סרבן גט כדי להביא אותו למתן גט</w:t>
      </w:r>
      <w:r>
        <w:rPr>
          <w:rFonts w:ascii="David" w:eastAsia="David" w:hAnsi="David"/>
          <w:sz w:val="26"/>
          <w:rtl/>
          <w:lang w:val="he-IL"/>
        </w:rPr>
        <w:t>.</w:t>
      </w:r>
    </w:p>
    <w:p w14:paraId="29BF8172" w14:textId="130A02A0" w:rsidR="007068A9" w:rsidRDefault="007068A9" w:rsidP="00047E33">
      <w:pPr>
        <w:pStyle w:val="Hesber"/>
        <w:rPr>
          <w:rFonts w:ascii="David" w:eastAsia="David" w:hAnsi="David"/>
          <w:sz w:val="26"/>
          <w:rtl/>
          <w:lang w:val="he-IL"/>
        </w:rPr>
      </w:pPr>
      <w:r>
        <w:rPr>
          <w:rFonts w:ascii="David" w:eastAsia="David" w:hAnsi="David" w:hint="cs"/>
          <w:sz w:val="26"/>
          <w:rtl/>
          <w:lang w:val="he-IL"/>
        </w:rPr>
        <w:t>חרף ההגבלות הקיימות היום בחוק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>סרבן גט</w:t>
      </w:r>
      <w:r w:rsidR="00047E33">
        <w:rPr>
          <w:rFonts w:ascii="David" w:eastAsia="David" w:hAnsi="David" w:hint="cs"/>
          <w:sz w:val="26"/>
          <w:rtl/>
          <w:lang w:val="he-IL"/>
        </w:rPr>
        <w:t xml:space="preserve"> זכאי</w:t>
      </w:r>
      <w:r>
        <w:rPr>
          <w:rFonts w:ascii="David" w:eastAsia="David" w:hAnsi="David" w:hint="cs"/>
          <w:sz w:val="26"/>
          <w:rtl/>
          <w:lang w:val="he-IL"/>
        </w:rPr>
        <w:t xml:space="preserve"> לקבל סיוע משפטי במימון המדינה וזאת בהתאם לחוק הסיוע המשפטי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 w:rsidR="00C2796B">
        <w:rPr>
          <w:rFonts w:ascii="David" w:eastAsia="David" w:hAnsi="David" w:hint="cs"/>
          <w:sz w:val="26"/>
          <w:rtl/>
          <w:lang w:val="he-IL"/>
        </w:rPr>
        <w:t>ה</w:t>
      </w:r>
      <w:r>
        <w:rPr>
          <w:rFonts w:ascii="David" w:eastAsia="David" w:hAnsi="David" w:hint="cs"/>
          <w:sz w:val="26"/>
          <w:rtl/>
          <w:lang w:val="he-IL"/>
        </w:rPr>
        <w:t>תשל״ב</w:t>
      </w:r>
      <w:r w:rsidR="00C2796B">
        <w:rPr>
          <w:rFonts w:ascii="David" w:eastAsia="David" w:hAnsi="David" w:hint="cs"/>
          <w:sz w:val="26"/>
          <w:rtl/>
          <w:lang w:val="he-IL"/>
        </w:rPr>
        <w:t>–</w:t>
      </w:r>
      <w:r>
        <w:rPr>
          <w:rFonts w:ascii="David" w:eastAsia="David" w:hAnsi="David"/>
          <w:sz w:val="26"/>
          <w:rtl/>
          <w:lang w:val="he-IL"/>
        </w:rPr>
        <w:t xml:space="preserve">1972. </w:t>
      </w:r>
      <w:r>
        <w:rPr>
          <w:rFonts w:ascii="David" w:eastAsia="David" w:hAnsi="David" w:hint="cs"/>
          <w:sz w:val="26"/>
          <w:rtl/>
          <w:lang w:val="he-IL"/>
        </w:rPr>
        <w:t>מצב אבסורדי זה מביא לכך שסרבן הגט זוכה במימון המדינה להגנה משפטית על סירובו לתת גט.</w:t>
      </w:r>
      <w:r>
        <w:rPr>
          <w:rFonts w:ascii="David" w:eastAsia="David" w:hAnsi="David"/>
          <w:sz w:val="26"/>
          <w:rtl/>
          <w:lang w:val="he-IL"/>
        </w:rPr>
        <w:t xml:space="preserve"> </w:t>
      </w:r>
      <w:r>
        <w:rPr>
          <w:rFonts w:ascii="David" w:eastAsia="David" w:hAnsi="David" w:hint="cs"/>
          <w:sz w:val="26"/>
          <w:rtl/>
          <w:lang w:val="he-IL"/>
        </w:rPr>
        <w:t>כתוצאה מכך נגרמת פגיעה קשה בזכויות אשתו העגונה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 w:rsidR="00047E33">
        <w:rPr>
          <w:rFonts w:ascii="David" w:eastAsia="David" w:hAnsi="David" w:hint="cs"/>
          <w:sz w:val="26"/>
          <w:rtl/>
          <w:lang w:val="he-IL"/>
        </w:rPr>
        <w:t>אשר לעיתים אף אי</w:t>
      </w:r>
      <w:r>
        <w:rPr>
          <w:rFonts w:ascii="David" w:eastAsia="David" w:hAnsi="David" w:hint="cs"/>
          <w:sz w:val="26"/>
          <w:rtl/>
          <w:lang w:val="he-IL"/>
        </w:rPr>
        <w:t>נה זכאית לקבלת סיוע משפטי דומה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>ובכך ניתנת למעשה לגיטימציה פסולה לתופעה הקשה של סרבנות גט והחוק מעוקר מתוכן</w:t>
      </w:r>
      <w:r>
        <w:rPr>
          <w:rFonts w:ascii="David" w:eastAsia="David" w:hAnsi="David"/>
          <w:sz w:val="26"/>
          <w:rtl/>
          <w:lang w:val="he-IL"/>
        </w:rPr>
        <w:t>.</w:t>
      </w:r>
    </w:p>
    <w:p w14:paraId="32D5B1CE" w14:textId="7DA2FDA5" w:rsidR="007068A9" w:rsidRDefault="00047E33" w:rsidP="00047E33">
      <w:pPr>
        <w:pStyle w:val="Hesber"/>
        <w:rPr>
          <w:rFonts w:ascii="David" w:eastAsia="David" w:hAnsi="David"/>
          <w:sz w:val="26"/>
          <w:rtl/>
          <w:lang w:val="he-IL"/>
        </w:rPr>
      </w:pPr>
      <w:r>
        <w:rPr>
          <w:rFonts w:ascii="David" w:eastAsia="David" w:hAnsi="David" w:hint="cs"/>
          <w:sz w:val="26"/>
          <w:rtl/>
          <w:lang w:val="he-IL"/>
        </w:rPr>
        <w:t>א</w:t>
      </w:r>
      <w:r w:rsidR="007068A9">
        <w:rPr>
          <w:rFonts w:ascii="David" w:eastAsia="David" w:hAnsi="David" w:hint="cs"/>
          <w:sz w:val="26"/>
          <w:rtl/>
          <w:lang w:val="he-IL"/>
        </w:rPr>
        <w:t>מנם</w:t>
      </w:r>
      <w:r w:rsidR="007068A9">
        <w:rPr>
          <w:rFonts w:ascii="David" w:eastAsia="David" w:hAnsi="David"/>
          <w:sz w:val="26"/>
          <w:rtl/>
          <w:lang w:val="he-IL"/>
        </w:rPr>
        <w:t xml:space="preserve">, </w:t>
      </w:r>
      <w:r w:rsidR="007068A9">
        <w:rPr>
          <w:rFonts w:ascii="David" w:eastAsia="David" w:hAnsi="David" w:hint="cs"/>
          <w:sz w:val="26"/>
          <w:rtl/>
          <w:lang w:val="he-IL"/>
        </w:rPr>
        <w:t>זכות הגישה לערכאות היא זכות יסוד במערכת המשפט הישראלית</w:t>
      </w:r>
      <w:r w:rsidR="00235E08">
        <w:rPr>
          <w:rFonts w:ascii="David" w:eastAsia="David" w:hAnsi="David" w:hint="cs"/>
          <w:sz w:val="26"/>
          <w:rtl/>
          <w:lang w:val="he-IL"/>
        </w:rPr>
        <w:t>,</w:t>
      </w:r>
      <w:r w:rsidR="007068A9">
        <w:rPr>
          <w:rFonts w:ascii="David" w:eastAsia="David" w:hAnsi="David" w:hint="cs"/>
          <w:sz w:val="26"/>
          <w:rtl/>
          <w:lang w:val="he-IL"/>
        </w:rPr>
        <w:t xml:space="preserve"> אולם במצב דברים זה הופכת אותה הזכות כלי לשימוש לרעה בהליכים משפטיים</w:t>
      </w:r>
      <w:r w:rsidR="007068A9">
        <w:rPr>
          <w:rFonts w:ascii="David" w:eastAsia="David" w:hAnsi="David"/>
          <w:sz w:val="26"/>
          <w:rtl/>
          <w:lang w:val="he-IL"/>
        </w:rPr>
        <w:t xml:space="preserve">. </w:t>
      </w:r>
      <w:r w:rsidR="00235E08">
        <w:rPr>
          <w:rFonts w:ascii="David" w:eastAsia="David" w:hAnsi="David" w:hint="cs"/>
          <w:sz w:val="26"/>
          <w:rtl/>
          <w:lang w:val="he-IL"/>
        </w:rPr>
        <w:t>מובהר בזאת כי</w:t>
      </w:r>
      <w:r w:rsidR="007068A9">
        <w:rPr>
          <w:rFonts w:ascii="David" w:eastAsia="David" w:hAnsi="David"/>
          <w:sz w:val="26"/>
          <w:rtl/>
          <w:lang w:val="he-IL"/>
        </w:rPr>
        <w:t xml:space="preserve"> </w:t>
      </w:r>
      <w:r w:rsidR="000B7CB6">
        <w:rPr>
          <w:rFonts w:ascii="David" w:eastAsia="David" w:hAnsi="David" w:hint="cs"/>
          <w:sz w:val="26"/>
          <w:rtl/>
          <w:lang w:val="he-IL"/>
        </w:rPr>
        <w:t>הזכות לקבל סיוע משפטי</w:t>
      </w:r>
      <w:r w:rsidR="007068A9">
        <w:rPr>
          <w:rFonts w:ascii="David" w:eastAsia="David" w:hAnsi="David" w:hint="cs"/>
          <w:sz w:val="26"/>
          <w:rtl/>
          <w:lang w:val="he-IL"/>
        </w:rPr>
        <w:t xml:space="preserve"> איננה נשללת באופן אוטומטי</w:t>
      </w:r>
      <w:r w:rsidR="00235E08">
        <w:rPr>
          <w:rFonts w:ascii="David" w:eastAsia="David" w:hAnsi="David" w:hint="cs"/>
          <w:sz w:val="26"/>
          <w:rtl/>
          <w:lang w:val="he-IL"/>
        </w:rPr>
        <w:t>,</w:t>
      </w:r>
      <w:r w:rsidR="007068A9">
        <w:rPr>
          <w:rFonts w:ascii="David" w:eastAsia="David" w:hAnsi="David" w:hint="cs"/>
          <w:sz w:val="26"/>
          <w:rtl/>
          <w:lang w:val="he-IL"/>
        </w:rPr>
        <w:t xml:space="preserve"> כי אם מהווה הגבלה נוספת </w:t>
      </w:r>
      <w:r>
        <w:rPr>
          <w:rFonts w:ascii="David" w:eastAsia="David" w:hAnsi="David" w:hint="cs"/>
          <w:sz w:val="26"/>
          <w:rtl/>
          <w:lang w:val="he-IL"/>
        </w:rPr>
        <w:t>שבית הדין</w:t>
      </w:r>
      <w:r w:rsidR="007068A9">
        <w:rPr>
          <w:rFonts w:ascii="David" w:eastAsia="David" w:hAnsi="David" w:hint="cs"/>
          <w:sz w:val="26"/>
          <w:rtl/>
          <w:lang w:val="he-IL"/>
        </w:rPr>
        <w:t xml:space="preserve"> יהיה רשאי להטיל במקרה הצורך. </w:t>
      </w:r>
      <w:r w:rsidR="00235E08">
        <w:rPr>
          <w:rFonts w:ascii="David" w:eastAsia="David" w:hAnsi="David" w:hint="cs"/>
          <w:sz w:val="26"/>
          <w:rtl/>
          <w:lang w:val="he-IL"/>
        </w:rPr>
        <w:lastRenderedPageBreak/>
        <w:t>כמו כן,</w:t>
      </w:r>
      <w:r w:rsidR="007068A9">
        <w:rPr>
          <w:rFonts w:ascii="David" w:eastAsia="David" w:hAnsi="David"/>
          <w:sz w:val="26"/>
          <w:rtl/>
          <w:lang w:val="he-IL"/>
        </w:rPr>
        <w:t xml:space="preserve"> </w:t>
      </w:r>
      <w:r w:rsidR="007068A9">
        <w:rPr>
          <w:rFonts w:ascii="David" w:eastAsia="David" w:hAnsi="David" w:hint="cs"/>
          <w:sz w:val="26"/>
          <w:rtl/>
          <w:lang w:val="he-IL"/>
        </w:rPr>
        <w:t>אין בהצעה כדי לשלול מסרבן הגט קבלת ייצוג משפטי עצמאי שלא במימון המדינה</w:t>
      </w:r>
      <w:r w:rsidR="005D75A2">
        <w:rPr>
          <w:rFonts w:ascii="David" w:eastAsia="David" w:hAnsi="David" w:hint="cs"/>
          <w:sz w:val="26"/>
          <w:rtl/>
          <w:lang w:val="he-IL"/>
        </w:rPr>
        <w:t xml:space="preserve"> </w:t>
      </w:r>
      <w:r w:rsidR="00AB795A">
        <w:rPr>
          <w:rFonts w:ascii="David" w:eastAsia="David" w:hAnsi="David" w:hint="cs"/>
          <w:sz w:val="26"/>
          <w:rtl/>
          <w:lang w:val="he-IL"/>
        </w:rPr>
        <w:t xml:space="preserve">ובכל מקרה ברור כי </w:t>
      </w:r>
      <w:r>
        <w:rPr>
          <w:rFonts w:ascii="David" w:eastAsia="David" w:hAnsi="David" w:hint="cs"/>
          <w:sz w:val="26"/>
          <w:rtl/>
          <w:lang w:val="he-IL"/>
        </w:rPr>
        <w:t xml:space="preserve">הוא </w:t>
      </w:r>
      <w:r w:rsidR="00AB795A">
        <w:rPr>
          <w:rFonts w:ascii="David" w:eastAsia="David" w:hAnsi="David" w:hint="cs"/>
          <w:sz w:val="26"/>
          <w:rtl/>
          <w:lang w:val="he-IL"/>
        </w:rPr>
        <w:t>יכול למנוע את השתת ההגבלה באמצעות קיום פסק דין.</w:t>
      </w:r>
    </w:p>
    <w:p w14:paraId="4B12F8F0" w14:textId="78FC1E2B" w:rsidR="007068A9" w:rsidRDefault="007068A9" w:rsidP="00AB795A">
      <w:pPr>
        <w:pStyle w:val="Hesber"/>
        <w:rPr>
          <w:rFonts w:ascii="David" w:eastAsia="David" w:hAnsi="David"/>
          <w:sz w:val="26"/>
          <w:rtl/>
          <w:lang w:val="he-IL"/>
        </w:rPr>
      </w:pPr>
      <w:r>
        <w:rPr>
          <w:rFonts w:ascii="David" w:eastAsia="David" w:hAnsi="David" w:hint="cs"/>
          <w:sz w:val="26"/>
          <w:rtl/>
          <w:lang w:val="he-IL"/>
        </w:rPr>
        <w:t>לפיכך</w:t>
      </w:r>
      <w:r>
        <w:rPr>
          <w:rFonts w:ascii="David" w:eastAsia="David" w:hAnsi="David"/>
          <w:sz w:val="26"/>
          <w:rtl/>
          <w:lang w:val="he-IL"/>
        </w:rPr>
        <w:t xml:space="preserve">, </w:t>
      </w:r>
      <w:r>
        <w:rPr>
          <w:rFonts w:ascii="David" w:eastAsia="David" w:hAnsi="David" w:hint="cs"/>
          <w:sz w:val="26"/>
          <w:rtl/>
          <w:lang w:val="he-IL"/>
        </w:rPr>
        <w:t xml:space="preserve">מוצע להוסיף על ההגבלות </w:t>
      </w:r>
      <w:r w:rsidR="00407D41">
        <w:rPr>
          <w:rFonts w:ascii="David" w:eastAsia="David" w:hAnsi="David" w:hint="cs"/>
          <w:sz w:val="26"/>
          <w:rtl/>
          <w:lang w:val="he-IL"/>
        </w:rPr>
        <w:t>שניתן</w:t>
      </w:r>
      <w:r>
        <w:rPr>
          <w:rFonts w:ascii="David" w:eastAsia="David" w:hAnsi="David" w:hint="cs"/>
          <w:sz w:val="26"/>
          <w:rtl/>
          <w:lang w:val="he-IL"/>
        </w:rPr>
        <w:t xml:space="preserve"> להטיל מכוח החוק כיום על סרבן גט</w:t>
      </w:r>
      <w:r>
        <w:rPr>
          <w:rFonts w:ascii="David" w:eastAsia="David" w:hAnsi="David"/>
          <w:sz w:val="26"/>
          <w:rtl/>
          <w:lang w:val="he-IL"/>
        </w:rPr>
        <w:t>,</w:t>
      </w:r>
      <w:r>
        <w:rPr>
          <w:rFonts w:ascii="David" w:eastAsia="David" w:hAnsi="David" w:hint="cs"/>
          <w:sz w:val="26"/>
          <w:rtl/>
          <w:lang w:val="he-IL"/>
        </w:rPr>
        <w:t xml:space="preserve"> הגבלה </w:t>
      </w:r>
      <w:r w:rsidR="00407D41">
        <w:rPr>
          <w:rFonts w:ascii="David" w:eastAsia="David" w:hAnsi="David" w:hint="cs"/>
          <w:sz w:val="26"/>
          <w:rtl/>
          <w:lang w:val="he-IL"/>
        </w:rPr>
        <w:t>נוספת</w:t>
      </w:r>
      <w:r w:rsidR="00AB795A">
        <w:rPr>
          <w:rFonts w:ascii="David" w:eastAsia="David" w:hAnsi="David" w:hint="cs"/>
          <w:sz w:val="26"/>
          <w:rtl/>
          <w:lang w:val="he-IL"/>
        </w:rPr>
        <w:t xml:space="preserve"> שעניינה קבלת</w:t>
      </w:r>
      <w:r>
        <w:rPr>
          <w:rFonts w:ascii="David" w:eastAsia="David" w:hAnsi="David" w:hint="cs"/>
          <w:sz w:val="26"/>
          <w:rtl/>
          <w:lang w:val="he-IL"/>
        </w:rPr>
        <w:t xml:space="preserve"> סיוע משפטי במימון המדינה מכוח החוק</w:t>
      </w:r>
      <w:r>
        <w:rPr>
          <w:rFonts w:ascii="David" w:eastAsia="David" w:hAnsi="David"/>
          <w:sz w:val="26"/>
          <w:rtl/>
          <w:lang w:val="he-IL"/>
        </w:rPr>
        <w:t>.</w:t>
      </w:r>
    </w:p>
    <w:p w14:paraId="70E99DBF" w14:textId="532C8A6E" w:rsidR="00047E33" w:rsidRDefault="00047E33" w:rsidP="00AB795A">
      <w:pPr>
        <w:pStyle w:val="Hesber"/>
        <w:rPr>
          <w:rFonts w:ascii="David" w:eastAsia="David" w:hAnsi="David"/>
          <w:sz w:val="26"/>
          <w:rtl/>
          <w:lang w:val="he-IL"/>
        </w:rPr>
      </w:pPr>
    </w:p>
    <w:p w14:paraId="46840E7C" w14:textId="77777777" w:rsidR="00047E33" w:rsidRDefault="00047E33" w:rsidP="00AB795A">
      <w:pPr>
        <w:pStyle w:val="Hesber"/>
        <w:rPr>
          <w:rFonts w:ascii="David" w:eastAsia="David" w:hAnsi="David"/>
          <w:sz w:val="26"/>
          <w:rtl/>
          <w:lang w:val="he-IL"/>
        </w:rPr>
      </w:pPr>
    </w:p>
    <w:p w14:paraId="45C71DD5" w14:textId="77777777" w:rsidR="00047E33" w:rsidRPr="00D73212" w:rsidRDefault="00047E33" w:rsidP="00047E33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02D04C59" w14:textId="77777777" w:rsidR="00047E33" w:rsidRPr="00D73212" w:rsidRDefault="00047E33" w:rsidP="00047E33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0C0DAF41" w14:textId="77777777" w:rsidR="00047E33" w:rsidRPr="00D73212" w:rsidRDefault="00047E33" w:rsidP="00047E33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0408F795" w14:textId="77777777" w:rsidR="00047E33" w:rsidRPr="00317312" w:rsidRDefault="00047E33" w:rsidP="00047E33">
      <w:pPr>
        <w:pStyle w:val="Hesber"/>
      </w:pPr>
      <w:r>
        <w:rPr>
          <w:rFonts w:hint="cs"/>
          <w:color w:val="auto"/>
          <w:rtl/>
          <w:lang w:eastAsia="en-US"/>
        </w:rPr>
        <w:t>י"ב בתמוז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25.6.18</w:t>
      </w:r>
    </w:p>
    <w:p w14:paraId="31854246" w14:textId="77777777" w:rsidR="00047E33" w:rsidRDefault="00047E33" w:rsidP="00AB795A">
      <w:pPr>
        <w:pStyle w:val="Hesber"/>
        <w:rPr>
          <w:rFonts w:ascii="David" w:eastAsia="David" w:hAnsi="David"/>
          <w:sz w:val="26"/>
          <w:rtl/>
          <w:lang w:val="he-IL"/>
        </w:rPr>
      </w:pPr>
      <w:bookmarkStart w:id="8" w:name="_GoBack"/>
      <w:bookmarkEnd w:id="8"/>
    </w:p>
    <w:p w14:paraId="4C55FF0C" w14:textId="6F4A0CA9" w:rsidR="00C2796B" w:rsidRPr="00A95C14" w:rsidRDefault="00C2796B" w:rsidP="00A95C14">
      <w:pPr>
        <w:pStyle w:val="p33"/>
        <w:bidi/>
        <w:spacing w:before="72" w:beforeAutospacing="0" w:after="0" w:afterAutospacing="0"/>
        <w:ind w:left="1474" w:right="1134"/>
        <w:jc w:val="both"/>
        <w:rPr>
          <w:color w:val="000000"/>
          <w:sz w:val="20"/>
          <w:szCs w:val="20"/>
          <w:rtl/>
        </w:rPr>
      </w:pPr>
    </w:p>
    <w:sectPr w:rsidR="00C2796B" w:rsidRPr="00A95C14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047E33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799B36C0" w14:textId="25FC9AEF" w:rsidR="00C2796B" w:rsidRDefault="00C2796B" w:rsidP="00047E33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r w:rsidR="00047E33">
        <w:rPr>
          <w:rFonts w:hint="cs"/>
          <w:rtl/>
        </w:rPr>
        <w:t>ה</w:t>
      </w:r>
      <w:r>
        <w:rPr>
          <w:rFonts w:hint="cs"/>
          <w:rtl/>
        </w:rPr>
        <w:t>תשנ"</w:t>
      </w:r>
      <w:r w:rsidR="00047E33">
        <w:rPr>
          <w:rFonts w:hint="cs"/>
          <w:rtl/>
        </w:rPr>
        <w:t>ה</w:t>
      </w:r>
      <w:r>
        <w:rPr>
          <w:rFonts w:hint="cs"/>
          <w:rtl/>
        </w:rPr>
        <w:t>, עמ' 139.</w:t>
      </w:r>
    </w:p>
  </w:footnote>
  <w:footnote w:id="3">
    <w:p w14:paraId="63339C3E" w14:textId="66D07A32" w:rsidR="007A25EA" w:rsidRDefault="007A25EA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r w:rsidR="00047E33">
        <w:rPr>
          <w:rFonts w:hint="cs"/>
          <w:rtl/>
        </w:rPr>
        <w:t>ה</w:t>
      </w:r>
      <w:r>
        <w:rPr>
          <w:rFonts w:hint="cs"/>
          <w:rtl/>
        </w:rPr>
        <w:t>תשל"ב, עמ' 198.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47E33"/>
    <w:rsid w:val="00063A3E"/>
    <w:rsid w:val="00072CAC"/>
    <w:rsid w:val="0007681A"/>
    <w:rsid w:val="000A542E"/>
    <w:rsid w:val="000B7CB6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5E08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3F0BF6"/>
    <w:rsid w:val="004033D8"/>
    <w:rsid w:val="004073F0"/>
    <w:rsid w:val="00407D41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5D75A2"/>
    <w:rsid w:val="0062674B"/>
    <w:rsid w:val="006363B2"/>
    <w:rsid w:val="00644940"/>
    <w:rsid w:val="006818A9"/>
    <w:rsid w:val="006A2D81"/>
    <w:rsid w:val="006C1D0D"/>
    <w:rsid w:val="0070601E"/>
    <w:rsid w:val="007068A9"/>
    <w:rsid w:val="00712C72"/>
    <w:rsid w:val="00735FE9"/>
    <w:rsid w:val="00763CAA"/>
    <w:rsid w:val="00765F66"/>
    <w:rsid w:val="0078664F"/>
    <w:rsid w:val="007A25EA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694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0539"/>
    <w:rsid w:val="009E1E33"/>
    <w:rsid w:val="00A14672"/>
    <w:rsid w:val="00A26BD6"/>
    <w:rsid w:val="00A443CF"/>
    <w:rsid w:val="00A6611D"/>
    <w:rsid w:val="00A82CB7"/>
    <w:rsid w:val="00A942C1"/>
    <w:rsid w:val="00A95C14"/>
    <w:rsid w:val="00AA2F03"/>
    <w:rsid w:val="00AB795A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2796B"/>
    <w:rsid w:val="00C310EB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DE4F52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FDE23F8F-08E7-4439-80BF-9258330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table" w:customStyle="1" w:styleId="TableNormal">
    <w:name w:val="Table Normal"/>
    <w:rsid w:val="007068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">
    <w:name w:val="ברירת-המחדל"/>
    <w:rsid w:val="007068A9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p00">
    <w:name w:val="p00"/>
    <w:basedOn w:val="a"/>
    <w:rsid w:val="00C2796B"/>
    <w:pPr>
      <w:widowControl/>
      <w:autoSpaceDE/>
      <w:autoSpaceDN/>
      <w:bidi w:val="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en-US"/>
    </w:rPr>
  </w:style>
  <w:style w:type="character" w:customStyle="1" w:styleId="big-number">
    <w:name w:val="big-number"/>
    <w:basedOn w:val="a0"/>
    <w:rsid w:val="00C2796B"/>
  </w:style>
  <w:style w:type="character" w:customStyle="1" w:styleId="default">
    <w:name w:val="default"/>
    <w:basedOn w:val="a0"/>
    <w:rsid w:val="00C2796B"/>
  </w:style>
  <w:style w:type="paragraph" w:customStyle="1" w:styleId="p22">
    <w:name w:val="p22"/>
    <w:basedOn w:val="a"/>
    <w:rsid w:val="00C2796B"/>
    <w:pPr>
      <w:widowControl/>
      <w:autoSpaceDE/>
      <w:autoSpaceDN/>
      <w:bidi w:val="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en-US"/>
    </w:rPr>
  </w:style>
  <w:style w:type="paragraph" w:customStyle="1" w:styleId="p33">
    <w:name w:val="p33"/>
    <w:basedOn w:val="a"/>
    <w:rsid w:val="00C2796B"/>
    <w:pPr>
      <w:widowControl/>
      <w:autoSpaceDE/>
      <w:autoSpaceDN/>
      <w:bidi w:val="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C173-9AC2-47E9-973E-77B22DFD2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DCFDC-AAB8-4E2D-A9AD-7DE5B024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350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חנה קרליץ</cp:lastModifiedBy>
  <cp:revision>17</cp:revision>
  <cp:lastPrinted>2018-06-20T08:58:00Z</cp:lastPrinted>
  <dcterms:created xsi:type="dcterms:W3CDTF">2015-04-20T09:58:00Z</dcterms:created>
  <dcterms:modified xsi:type="dcterms:W3CDTF">2018-06-20T08:58:00Z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2070805</vt:r8>
  </property>
</Properties>
</file>