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2071788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עודד פורר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676FF6">
      <w:pPr>
        <w:pStyle w:val="David"/>
        <w:spacing w:before="0" w:line="240" w:lineRule="auto"/>
        <w:ind w:left="2824" w:firstLine="720"/>
        <w:rPr>
          <w:rtl/>
        </w:rPr>
      </w:pPr>
      <w:r>
        <w:t xml:space="preserve">                                            </w:t>
      </w:r>
      <w:r w:rsidR="008F1308">
        <w:t xml:space="preserve"> </w:t>
      </w:r>
      <w:bookmarkStart w:id="6" w:name="Private_Number"/>
      <w:r>
        <w:rPr>
          <w:rFonts w:hint="cs"/>
          <w:rtl/>
        </w:rPr>
        <w:t>פ/5485/20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הרשויות המקומיות (בחירות) (תיקון – התניית יום שבתון באישור הצבעה), התשע"ח–2018</w:t>
      </w:r>
      <w:bookmarkEnd w:id="7"/>
    </w:p>
    <w:tbl>
      <w:tblPr>
        <w:bidiVisual/>
        <w:tblW w:w="96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19"/>
      </w:tblGrid>
      <w:tr w:rsidR="0042236F" w:rsidRPr="00C07914" w14:paraId="1AF76362" w14:textId="77777777" w:rsidTr="00251350">
        <w:trPr>
          <w:cantSplit/>
        </w:trPr>
        <w:tc>
          <w:tcPr>
            <w:tcW w:w="1870" w:type="dxa"/>
            <w:tcBorders>
              <w:top w:val="nil"/>
              <w:left w:val="nil"/>
              <w:bottom w:val="nil"/>
              <w:right w:val="nil"/>
            </w:tcBorders>
          </w:tcPr>
          <w:p w14:paraId="6CE97175" w14:textId="77777777" w:rsidR="0042236F" w:rsidRPr="00C07914" w:rsidRDefault="0042236F" w:rsidP="00251350">
            <w:pPr>
              <w:pStyle w:val="TableSideHeading"/>
              <w:keepLines w:val="0"/>
              <w:rPr>
                <w:sz w:val="26"/>
              </w:rPr>
            </w:pPr>
            <w:r w:rsidRPr="00C07914">
              <w:rPr>
                <w:sz w:val="26"/>
                <w:rtl/>
              </w:rPr>
              <w:t xml:space="preserve">תיקון סעיף </w:t>
            </w:r>
            <w:r>
              <w:rPr>
                <w:sz w:val="26"/>
                <w:rtl/>
              </w:rPr>
              <w:t>97ב</w:t>
            </w:r>
          </w:p>
        </w:tc>
        <w:tc>
          <w:tcPr>
            <w:tcW w:w="624" w:type="dxa"/>
            <w:tcBorders>
              <w:top w:val="nil"/>
              <w:left w:val="nil"/>
              <w:bottom w:val="nil"/>
              <w:right w:val="nil"/>
            </w:tcBorders>
          </w:tcPr>
          <w:p w14:paraId="52B28645" w14:textId="77777777" w:rsidR="0042236F" w:rsidRPr="00C07914" w:rsidRDefault="0042236F" w:rsidP="00251350">
            <w:pPr>
              <w:pStyle w:val="TableText"/>
              <w:keepLines w:val="0"/>
              <w:rPr>
                <w:sz w:val="26"/>
              </w:rPr>
            </w:pPr>
            <w:r w:rsidRPr="00C07914">
              <w:rPr>
                <w:sz w:val="26"/>
                <w:rtl/>
              </w:rPr>
              <w:t>1.</w:t>
            </w:r>
          </w:p>
        </w:tc>
        <w:tc>
          <w:tcPr>
            <w:tcW w:w="7143" w:type="dxa"/>
            <w:gridSpan w:val="2"/>
            <w:tcBorders>
              <w:top w:val="nil"/>
              <w:left w:val="nil"/>
              <w:bottom w:val="nil"/>
              <w:right w:val="nil"/>
            </w:tcBorders>
          </w:tcPr>
          <w:p w14:paraId="25D5ED25" w14:textId="77777777" w:rsidR="0042236F" w:rsidRPr="00C07914" w:rsidRDefault="0042236F" w:rsidP="00251350">
            <w:pPr>
              <w:pStyle w:val="TableBlock"/>
              <w:rPr>
                <w:sz w:val="26"/>
              </w:rPr>
            </w:pPr>
            <w:r w:rsidRPr="00C07914">
              <w:rPr>
                <w:sz w:val="26"/>
                <w:rtl/>
              </w:rPr>
              <w:t>ב</w:t>
            </w:r>
            <w:r>
              <w:rPr>
                <w:rFonts w:hint="cs"/>
                <w:sz w:val="26"/>
                <w:rtl/>
              </w:rPr>
              <w:t xml:space="preserve">חוק </w:t>
            </w:r>
            <w:r>
              <w:rPr>
                <w:rFonts w:hint="cs"/>
                <w:rtl/>
              </w:rPr>
              <w:t>הרשויות המקומיות (בחירות), התשכ"ה–1965</w:t>
            </w:r>
            <w:r>
              <w:rPr>
                <w:rStyle w:val="a6"/>
                <w:rtl/>
              </w:rPr>
              <w:footnoteReference w:id="2"/>
            </w:r>
            <w:r>
              <w:rPr>
                <w:rFonts w:hint="cs"/>
                <w:rtl/>
              </w:rPr>
              <w:t xml:space="preserve">, בסעיף </w:t>
            </w:r>
            <w:r w:rsidRPr="007F457A">
              <w:rPr>
                <w:rtl/>
              </w:rPr>
              <w:t>97ב</w:t>
            </w:r>
            <w:r>
              <w:rPr>
                <w:rFonts w:hint="cs"/>
                <w:rtl/>
              </w:rPr>
              <w:t xml:space="preserve"> </w:t>
            </w:r>
            <w:r>
              <w:rPr>
                <w:rtl/>
              </w:rPr>
              <w:softHyphen/>
            </w:r>
            <w:r>
              <w:rPr>
                <w:rFonts w:hint="eastAsia"/>
                <w:rtl/>
              </w:rPr>
              <w:t>–</w:t>
            </w:r>
            <w:r>
              <w:rPr>
                <w:rFonts w:hint="cs"/>
                <w:rtl/>
              </w:rPr>
              <w:t xml:space="preserve">  </w:t>
            </w:r>
          </w:p>
        </w:tc>
      </w:tr>
      <w:tr w:rsidR="00676FF6" w14:paraId="2AC0EA40" w14:textId="77777777" w:rsidTr="009E7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0" w:type="dxa"/>
          </w:tcPr>
          <w:p w14:paraId="1FAC7042" w14:textId="77777777" w:rsidR="00676FF6" w:rsidRDefault="00676FF6" w:rsidP="00251350">
            <w:pPr>
              <w:pStyle w:val="TableSideHeading"/>
            </w:pPr>
          </w:p>
        </w:tc>
        <w:tc>
          <w:tcPr>
            <w:tcW w:w="624" w:type="dxa"/>
          </w:tcPr>
          <w:p w14:paraId="355B5CA8" w14:textId="77777777" w:rsidR="00676FF6" w:rsidRDefault="00676FF6" w:rsidP="00251350">
            <w:pPr>
              <w:pStyle w:val="TableText"/>
            </w:pPr>
          </w:p>
        </w:tc>
        <w:tc>
          <w:tcPr>
            <w:tcW w:w="7143" w:type="dxa"/>
            <w:gridSpan w:val="2"/>
          </w:tcPr>
          <w:p w14:paraId="19A35A03" w14:textId="42984224" w:rsidR="00676FF6" w:rsidRDefault="00676FF6" w:rsidP="00676FF6">
            <w:pPr>
              <w:pStyle w:val="TableBlock"/>
            </w:pPr>
            <w:r>
              <w:rPr>
                <w:rFonts w:hint="cs"/>
                <w:rtl/>
              </w:rPr>
              <w:t>(1)</w:t>
            </w:r>
            <w:r>
              <w:rPr>
                <w:rtl/>
              </w:rPr>
              <w:tab/>
            </w:r>
            <w:r>
              <w:rPr>
                <w:rFonts w:hint="cs"/>
                <w:rtl/>
              </w:rPr>
              <w:t>בסעיף קטן (ג), אחרי "שבת" יבוא</w:t>
            </w:r>
            <w:r w:rsidRPr="007F457A">
              <w:rPr>
                <w:rtl/>
              </w:rPr>
              <w:t xml:space="preserve"> </w:t>
            </w:r>
            <w:r>
              <w:rPr>
                <w:rFonts w:hint="cs"/>
                <w:rtl/>
              </w:rPr>
              <w:t>"ב</w:t>
            </w:r>
            <w:r w:rsidRPr="007F457A">
              <w:rPr>
                <w:rtl/>
              </w:rPr>
              <w:t xml:space="preserve">תנאי שאותו </w:t>
            </w:r>
            <w:r>
              <w:rPr>
                <w:rFonts w:hint="cs"/>
                <w:rtl/>
              </w:rPr>
              <w:t>עובד</w:t>
            </w:r>
            <w:r w:rsidRPr="007F457A">
              <w:rPr>
                <w:rtl/>
              </w:rPr>
              <w:t xml:space="preserve"> הצביע</w:t>
            </w:r>
            <w:r>
              <w:rPr>
                <w:rFonts w:hint="cs"/>
                <w:rtl/>
              </w:rPr>
              <w:t xml:space="preserve"> בבחירות.";</w:t>
            </w:r>
          </w:p>
        </w:tc>
      </w:tr>
      <w:tr w:rsidR="00676FF6" w14:paraId="52C29D29" w14:textId="77777777" w:rsidTr="002C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0" w:type="dxa"/>
          </w:tcPr>
          <w:p w14:paraId="45E765D4" w14:textId="77777777" w:rsidR="00676FF6" w:rsidRDefault="00676FF6" w:rsidP="00251350">
            <w:pPr>
              <w:pStyle w:val="TableSideHeading"/>
            </w:pPr>
          </w:p>
        </w:tc>
        <w:tc>
          <w:tcPr>
            <w:tcW w:w="624" w:type="dxa"/>
          </w:tcPr>
          <w:p w14:paraId="593A41EB" w14:textId="77777777" w:rsidR="00676FF6" w:rsidRDefault="00676FF6" w:rsidP="00251350">
            <w:pPr>
              <w:pStyle w:val="TableText"/>
            </w:pPr>
          </w:p>
        </w:tc>
        <w:tc>
          <w:tcPr>
            <w:tcW w:w="7143" w:type="dxa"/>
            <w:gridSpan w:val="2"/>
          </w:tcPr>
          <w:p w14:paraId="2DCDFF29" w14:textId="26855D46" w:rsidR="00676FF6" w:rsidRPr="00676FF6" w:rsidRDefault="00676FF6" w:rsidP="00676FF6">
            <w:pPr>
              <w:pStyle w:val="TableBlock"/>
              <w:rPr>
                <w:rtl/>
              </w:rPr>
            </w:pPr>
            <w:r>
              <w:rPr>
                <w:rFonts w:hint="cs"/>
                <w:rtl/>
              </w:rPr>
              <w:t>(2)</w:t>
            </w:r>
            <w:r>
              <w:rPr>
                <w:rtl/>
              </w:rPr>
              <w:tab/>
            </w:r>
            <w:r w:rsidRPr="00B508D9">
              <w:rPr>
                <w:rFonts w:hint="cs"/>
                <w:rtl/>
              </w:rPr>
              <w:t>אחרי סעיף קטן (</w:t>
            </w:r>
            <w:r w:rsidRPr="00B508D9">
              <w:rPr>
                <w:rtl/>
              </w:rPr>
              <w:t>ג)</w:t>
            </w:r>
            <w:r>
              <w:rPr>
                <w:rFonts w:hint="cs"/>
                <w:rtl/>
              </w:rPr>
              <w:t xml:space="preserve"> יבוא:</w:t>
            </w:r>
          </w:p>
        </w:tc>
      </w:tr>
      <w:tr w:rsidR="0042236F" w14:paraId="53BBCEC2" w14:textId="77777777" w:rsidTr="00251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0" w:type="dxa"/>
          </w:tcPr>
          <w:p w14:paraId="0F1422DC" w14:textId="77777777" w:rsidR="0042236F" w:rsidRDefault="0042236F" w:rsidP="00251350">
            <w:pPr>
              <w:pStyle w:val="TableSideHeading"/>
            </w:pPr>
          </w:p>
        </w:tc>
        <w:tc>
          <w:tcPr>
            <w:tcW w:w="624" w:type="dxa"/>
          </w:tcPr>
          <w:p w14:paraId="128A1A28" w14:textId="77777777" w:rsidR="0042236F" w:rsidRDefault="0042236F" w:rsidP="00251350">
            <w:pPr>
              <w:pStyle w:val="TableText"/>
            </w:pPr>
          </w:p>
        </w:tc>
        <w:tc>
          <w:tcPr>
            <w:tcW w:w="624" w:type="dxa"/>
          </w:tcPr>
          <w:p w14:paraId="571A27E7" w14:textId="77777777" w:rsidR="0042236F" w:rsidRDefault="0042236F" w:rsidP="00251350">
            <w:pPr>
              <w:pStyle w:val="TableText"/>
              <w:rPr>
                <w:rtl/>
              </w:rPr>
            </w:pPr>
          </w:p>
        </w:tc>
        <w:tc>
          <w:tcPr>
            <w:tcW w:w="6519" w:type="dxa"/>
          </w:tcPr>
          <w:p w14:paraId="2179ABAD" w14:textId="77777777" w:rsidR="0042236F" w:rsidRDefault="0042236F" w:rsidP="00251350">
            <w:pPr>
              <w:pStyle w:val="TableBlock"/>
              <w:rPr>
                <w:sz w:val="26"/>
                <w:rtl/>
              </w:rPr>
            </w:pPr>
            <w:r>
              <w:rPr>
                <w:rFonts w:hint="cs"/>
                <w:sz w:val="26"/>
                <w:rtl/>
              </w:rPr>
              <w:t>"(ד)</w:t>
            </w:r>
            <w:r>
              <w:rPr>
                <w:sz w:val="26"/>
                <w:rtl/>
              </w:rPr>
              <w:tab/>
            </w:r>
            <w:r>
              <w:rPr>
                <w:rFonts w:hint="cs"/>
                <w:sz w:val="26"/>
                <w:rtl/>
              </w:rPr>
              <w:t>ועדת הקלפי תמסור למי שהצביע בבחירות אישור על הצבעתו."</w:t>
            </w:r>
          </w:p>
        </w:tc>
      </w:tr>
    </w:tbl>
    <w:p w14:paraId="7F6961CA" w14:textId="77777777" w:rsidR="002D1EE3" w:rsidRDefault="002D1EE3" w:rsidP="002D1EE3">
      <w:pPr>
        <w:pStyle w:val="HeadDivreiHesber"/>
        <w:rPr>
          <w:rtl/>
        </w:rPr>
      </w:pPr>
      <w:r w:rsidRPr="0027450A">
        <w:rPr>
          <w:rFonts w:hint="cs"/>
          <w:rtl/>
        </w:rPr>
        <w:t>דברי הסבר</w:t>
      </w:r>
    </w:p>
    <w:p w14:paraId="251CAA00" w14:textId="77777777" w:rsidR="0042236F" w:rsidRDefault="0042236F" w:rsidP="0042236F">
      <w:pPr>
        <w:pStyle w:val="Hesber"/>
        <w:rPr>
          <w:rtl/>
        </w:rPr>
      </w:pPr>
      <w:r>
        <w:rPr>
          <w:rtl/>
        </w:rPr>
        <w:t>מנתוני משרד הפנים לגבי מערכת הבחירות האחרונה לרשויות המקומיות ב-22.10.13, עולה כי שיעור ההצבעה עמד על 51.1 אחוזים בלבד. על מנת להעלות את שיעור המצביעים, מוצע לקבוע כי יום שבתון יינתן רק לעובד אשר הצביע בפועל בקלפי בבחירות המוניציפאליות, לאחר שיעביר למעסיקו אישור ועדת הקלפי על כך שהצביע.</w:t>
      </w:r>
    </w:p>
    <w:p w14:paraId="3148BED8" w14:textId="77777777" w:rsidR="00725442" w:rsidRDefault="0042236F" w:rsidP="0042236F">
      <w:pPr>
        <w:pStyle w:val="Hesber"/>
        <w:rPr>
          <w:rtl/>
        </w:rPr>
      </w:pPr>
      <w:r>
        <w:rPr>
          <w:rtl/>
        </w:rPr>
        <w:t>כך, מחד גיסא צפוי לעלות אחוז המצביעים המממשים את זכות היסוד הדמוקרטית להצביע בבחירות, ומאידך גיסא עשוי הדבר להביא להתייעלות כלכלית של המשק שכן יהיה על כל מי שלא מממש זכות יסוד זו להגיע למקום עבודתו כבכל יום רגיל.</w:t>
      </w:r>
      <w:r>
        <w:rPr>
          <w:rFonts w:hint="cs"/>
          <w:rtl/>
        </w:rPr>
        <w:t xml:space="preserve"> </w:t>
      </w:r>
    </w:p>
    <w:p w14:paraId="7F6961CB" w14:textId="0BC57A42" w:rsidR="00E13C27" w:rsidRDefault="00725442" w:rsidP="00725442">
      <w:pPr>
        <w:pStyle w:val="Hesber"/>
        <w:rPr>
          <w:rtl/>
        </w:rPr>
      </w:pPr>
      <w:r>
        <w:rPr>
          <w:rFonts w:hint="cs"/>
          <w:rtl/>
        </w:rPr>
        <w:t>הצעת חוק</w:t>
      </w:r>
      <w:r w:rsidR="0042236F">
        <w:rPr>
          <w:rFonts w:hint="cs"/>
          <w:rtl/>
        </w:rPr>
        <w:t xml:space="preserve"> </w:t>
      </w:r>
      <w:r>
        <w:rPr>
          <w:rFonts w:hint="cs"/>
          <w:rtl/>
        </w:rPr>
        <w:t xml:space="preserve">דומה בעיקרה הונחה על שולחן </w:t>
      </w:r>
      <w:r w:rsidR="00BD5277">
        <w:rPr>
          <w:rFonts w:hint="cs"/>
          <w:rtl/>
        </w:rPr>
        <w:t xml:space="preserve">הכנסת העשרים </w:t>
      </w:r>
      <w:r w:rsidR="0042236F">
        <w:rPr>
          <w:rFonts w:hint="cs"/>
          <w:rtl/>
        </w:rPr>
        <w:t>על</w:t>
      </w:r>
      <w:r w:rsidR="00BD5277">
        <w:rPr>
          <w:rFonts w:hint="cs"/>
          <w:rtl/>
        </w:rPr>
        <w:t xml:space="preserve"> </w:t>
      </w:r>
      <w:r w:rsidR="0042236F">
        <w:rPr>
          <w:rFonts w:hint="cs"/>
          <w:rtl/>
        </w:rPr>
        <w:t xml:space="preserve">ידי חבר הכנסת עודד פורר וקבוצת חברי </w:t>
      </w:r>
      <w:r w:rsidR="00676FF6">
        <w:rPr>
          <w:rFonts w:hint="cs"/>
          <w:rtl/>
        </w:rPr>
        <w:t>ה</w:t>
      </w:r>
      <w:r w:rsidR="0042236F">
        <w:rPr>
          <w:rFonts w:hint="cs"/>
          <w:rtl/>
        </w:rPr>
        <w:t>כנסת</w:t>
      </w:r>
      <w:r>
        <w:rPr>
          <w:rFonts w:hint="cs"/>
          <w:rtl/>
        </w:rPr>
        <w:t xml:space="preserve"> </w:t>
      </w:r>
      <w:r w:rsidR="0042236F">
        <w:rPr>
          <w:rFonts w:hint="cs"/>
          <w:rtl/>
        </w:rPr>
        <w:t>(פ/5435/20)</w:t>
      </w:r>
      <w:r>
        <w:rPr>
          <w:rFonts w:hint="cs"/>
          <w:rtl/>
        </w:rPr>
        <w:t>.</w:t>
      </w:r>
    </w:p>
    <w:p w14:paraId="537D5F7F" w14:textId="77777777" w:rsidR="00676FF6" w:rsidRDefault="00676FF6" w:rsidP="00725442">
      <w:pPr>
        <w:pStyle w:val="Hesber"/>
        <w:rPr>
          <w:rtl/>
        </w:rPr>
      </w:pPr>
    </w:p>
    <w:p w14:paraId="0ECB4199" w14:textId="77777777" w:rsidR="00676FF6" w:rsidRDefault="00676FF6" w:rsidP="00725442">
      <w:pPr>
        <w:pStyle w:val="Hesber"/>
        <w:rPr>
          <w:rtl/>
        </w:rPr>
      </w:pPr>
    </w:p>
    <w:p w14:paraId="60E4463F" w14:textId="77777777" w:rsidR="00676FF6" w:rsidRPr="00D73212" w:rsidRDefault="00676FF6" w:rsidP="00676FF6">
      <w:pPr>
        <w:pStyle w:val="Hesber"/>
        <w:rPr>
          <w:color w:val="auto"/>
          <w:rtl/>
          <w:lang w:eastAsia="en-US"/>
        </w:rPr>
      </w:pPr>
      <w:r w:rsidRPr="00D73212">
        <w:rPr>
          <w:color w:val="auto"/>
          <w:rtl/>
          <w:lang w:eastAsia="en-US"/>
        </w:rPr>
        <w:t>---------------------------------</w:t>
      </w:r>
    </w:p>
    <w:p w14:paraId="3067B74E" w14:textId="77777777" w:rsidR="00676FF6" w:rsidRPr="00D73212" w:rsidRDefault="00676FF6" w:rsidP="00676FF6">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5EFEBB4" w14:textId="77777777" w:rsidR="00676FF6" w:rsidRPr="00D73212" w:rsidRDefault="00676FF6" w:rsidP="00676FF6">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0320CFE" w14:textId="77777777" w:rsidR="00676FF6" w:rsidRPr="00317312" w:rsidRDefault="00676FF6" w:rsidP="00676FF6">
      <w:pPr>
        <w:pStyle w:val="Hesber"/>
      </w:pPr>
      <w:r>
        <w:rPr>
          <w:rFonts w:hint="cs"/>
          <w:color w:val="auto"/>
          <w:rtl/>
          <w:lang w:eastAsia="en-US"/>
        </w:rPr>
        <w:t>ה' בתמוז</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ח</w:t>
      </w:r>
      <w:r w:rsidRPr="00D73212">
        <w:rPr>
          <w:color w:val="auto"/>
          <w:rtl/>
          <w:lang w:eastAsia="en-US"/>
        </w:rPr>
        <w:t xml:space="preserve"> – </w:t>
      </w:r>
      <w:r>
        <w:rPr>
          <w:rFonts w:hint="cs"/>
          <w:color w:val="auto"/>
          <w:rtl/>
          <w:lang w:eastAsia="en-US"/>
        </w:rPr>
        <w:t>18.6.18</w:t>
      </w:r>
    </w:p>
    <w:p w14:paraId="2589E9C4" w14:textId="77777777" w:rsidR="00676FF6" w:rsidRDefault="00676FF6" w:rsidP="00725442">
      <w:pPr>
        <w:pStyle w:val="Hesber"/>
        <w:rPr>
          <w:rtl/>
        </w:rPr>
      </w:pPr>
      <w:bookmarkStart w:id="8" w:name="_GoBack"/>
      <w:bookmarkEnd w:id="8"/>
    </w:p>
    <w:sectPr w:rsidR="00676FF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260DF93" w14:textId="77777777" w:rsidR="0042236F" w:rsidRDefault="0042236F" w:rsidP="0042236F">
      <w:pPr>
        <w:pStyle w:val="a4"/>
      </w:pPr>
      <w:r>
        <w:rPr>
          <w:rStyle w:val="a6"/>
        </w:rPr>
        <w:footnoteRef/>
      </w:r>
      <w:r>
        <w:rPr>
          <w:rtl/>
        </w:rPr>
        <w:t xml:space="preserve"> </w:t>
      </w:r>
      <w:r>
        <w:rPr>
          <w:rFonts w:hint="cs"/>
          <w:rtl/>
        </w:rPr>
        <w:t>ס"ח התשכ"ה,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46CD"/>
    <w:rsid w:val="003232A2"/>
    <w:rsid w:val="00325C14"/>
    <w:rsid w:val="0036422C"/>
    <w:rsid w:val="003710F6"/>
    <w:rsid w:val="00386E88"/>
    <w:rsid w:val="00396585"/>
    <w:rsid w:val="003D6E38"/>
    <w:rsid w:val="003D74A0"/>
    <w:rsid w:val="004033D8"/>
    <w:rsid w:val="004073F0"/>
    <w:rsid w:val="00412A7D"/>
    <w:rsid w:val="00416B4D"/>
    <w:rsid w:val="00417CFC"/>
    <w:rsid w:val="0042236F"/>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76FF6"/>
    <w:rsid w:val="006818A9"/>
    <w:rsid w:val="006A2D81"/>
    <w:rsid w:val="006C1D0D"/>
    <w:rsid w:val="0070601E"/>
    <w:rsid w:val="00712C72"/>
    <w:rsid w:val="0072544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D5277"/>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74ED"/>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F5A819F-3E05-40E0-A511-D0BC1521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2236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9D83AB28-2A5F-473E-87C2-09C168C32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40B3DA-4659-4399-AEEE-23D146B0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209</Words>
  <Characters>1049</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9</cp:revision>
  <cp:lastPrinted>2018-06-13T08:55:00Z</cp:lastPrinted>
  <dcterms:created xsi:type="dcterms:W3CDTF">2015-04-20T09:58:00Z</dcterms:created>
  <dcterms:modified xsi:type="dcterms:W3CDTF">2018-06-13T08:56:00Z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2071788</vt:r8>
  </property>
</Properties>
</file>