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2071184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</w:t>
      </w:r>
      <w:bookmarkEnd w:id="1"/>
    </w:p>
    <w:p w14:paraId="7F6961A3" w14:textId="77777777" w:rsidR="00E13C27" w:rsidRPr="00F67051" w:rsidRDefault="00E13C27" w:rsidP="00E13C27">
      <w:pPr>
        <w:rPr>
          <w:rFonts w:hint="cs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יוזמת:</w:t>
      </w:r>
      <w:r>
        <w:tab/>
      </w:r>
      <w:r>
        <w:rPr>
          <w:b/>
          <w:bCs/>
          <w:rtl/>
        </w:rPr>
        <w:t xml:space="preserve">      חברת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ציפי לבני</w:t>
      </w:r>
      <w:bookmarkEnd w:id="3"/>
    </w:p>
    <w:p w14:paraId="7F6961AA" w14:textId="39F9D96B" w:rsidR="00E13C27" w:rsidRPr="00CF1AA2" w:rsidRDefault="007D585A" w:rsidP="0036422C">
      <w:pPr>
        <w:pStyle w:val="David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C" w14:textId="5F3ED3F5" w:rsidR="00E13C27" w:rsidRPr="008F6C9E" w:rsidRDefault="008F6C9E" w:rsidP="008F6C9E">
      <w:pPr>
        <w:pStyle w:val="David"/>
        <w:spacing w:line="240" w:lineRule="auto"/>
        <w:ind w:left="5040"/>
        <w:rPr>
          <w:rFonts w:asciiTheme="minorHAnsi" w:hAnsiTheme="minorHAnsi"/>
          <w:rtl/>
        </w:rPr>
      </w:pPr>
      <w:r>
        <w:rPr>
          <w:rFonts w:hint="cs"/>
          <w:rtl/>
        </w:rPr>
        <w:t xml:space="preserve">            </w:t>
      </w:r>
      <w:r w:rsidR="00904591">
        <w:t xml:space="preserve"> </w:t>
      </w:r>
      <w:r>
        <w:rPr>
          <w:rFonts w:asciiTheme="minorHAnsi" w:hAnsiTheme="minorHAnsi" w:hint="cs"/>
          <w:rtl/>
        </w:rPr>
        <w:t xml:space="preserve">          פ/5481/20</w:t>
      </w:r>
      <w:r w:rsidR="00904591">
        <w:t xml:space="preserve">                                          </w:t>
      </w:r>
    </w:p>
    <w:p w14:paraId="7F6961AD" w14:textId="203B98A1" w:rsidR="00E13C27" w:rsidRPr="00F67051" w:rsidRDefault="00A443CF" w:rsidP="00755C4D">
      <w:pPr>
        <w:pStyle w:val="HeadHatzaotHok"/>
        <w:rPr>
          <w:rtl/>
        </w:rPr>
      </w:pPr>
      <w:bookmarkStart w:id="6" w:name="LGS_Subject"/>
      <w:r>
        <w:rPr>
          <w:rFonts w:hint="cs"/>
          <w:rtl/>
        </w:rPr>
        <w:t xml:space="preserve">הצעת חוק ראש המטה הכללי של צבא הגנה לישראל (תקופת כהונה), </w:t>
      </w:r>
      <w:proofErr w:type="spellStart"/>
      <w:r>
        <w:rPr>
          <w:rFonts w:hint="cs"/>
          <w:rtl/>
        </w:rPr>
        <w:t>התשע"ח</w:t>
      </w:r>
      <w:proofErr w:type="spellEnd"/>
      <w:r w:rsidR="00755C4D">
        <w:rPr>
          <w:rFonts w:hint="eastAsia"/>
          <w:rtl/>
        </w:rPr>
        <w:t>–</w:t>
      </w:r>
      <w:r>
        <w:rPr>
          <w:rFonts w:hint="cs"/>
          <w:rtl/>
        </w:rPr>
        <w:t>2018</w:t>
      </w:r>
      <w:bookmarkEnd w:id="6"/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651"/>
        <w:gridCol w:w="7146"/>
      </w:tblGrid>
      <w:tr w:rsidR="00755C4D" w14:paraId="570A902D" w14:textId="77777777" w:rsidTr="00A91445">
        <w:trPr>
          <w:cantSplit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262C9C34" w14:textId="5DB594F3" w:rsidR="00755C4D" w:rsidRDefault="00755C4D" w:rsidP="00931648">
            <w:pPr>
              <w:pStyle w:val="TableSideHeading"/>
              <w:keepLines w:val="0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הגדרות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187148DD" w14:textId="77777777" w:rsidR="00755C4D" w:rsidRDefault="00755C4D" w:rsidP="00931648">
            <w:pPr>
              <w:pStyle w:val="TableText"/>
              <w:rPr>
                <w:sz w:val="26"/>
                <w:rtl/>
              </w:rPr>
            </w:pPr>
            <w:r>
              <w:rPr>
                <w:sz w:val="26"/>
                <w:rtl/>
              </w:rPr>
              <w:t>1.</w:t>
            </w:r>
          </w:p>
        </w:tc>
        <w:tc>
          <w:tcPr>
            <w:tcW w:w="7146" w:type="dxa"/>
            <w:tcBorders>
              <w:top w:val="nil"/>
              <w:left w:val="nil"/>
              <w:bottom w:val="nil"/>
              <w:right w:val="nil"/>
            </w:tcBorders>
          </w:tcPr>
          <w:p w14:paraId="4D05152F" w14:textId="65571FDE" w:rsidR="00755C4D" w:rsidRDefault="00755C4D" w:rsidP="00755C4D">
            <w:pPr>
              <w:pStyle w:val="TableBlock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 xml:space="preserve">בחוק זה </w:t>
            </w:r>
            <w:r>
              <w:rPr>
                <w:rFonts w:hint="eastAsia"/>
                <w:sz w:val="26"/>
                <w:rtl/>
              </w:rPr>
              <w:t>–</w:t>
            </w:r>
          </w:p>
        </w:tc>
      </w:tr>
      <w:tr w:rsidR="00755C4D" w14:paraId="63732DB8" w14:textId="77777777" w:rsidTr="00A91445">
        <w:trPr>
          <w:cantSplit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6D6B50BC" w14:textId="77777777" w:rsidR="00755C4D" w:rsidRDefault="00755C4D" w:rsidP="00931648">
            <w:pPr>
              <w:pStyle w:val="TableSideHeading"/>
              <w:keepLines w:val="0"/>
              <w:rPr>
                <w:sz w:val="26"/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4905353B" w14:textId="77777777" w:rsidR="00755C4D" w:rsidRDefault="00755C4D" w:rsidP="00931648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nil"/>
              <w:right w:val="nil"/>
            </w:tcBorders>
          </w:tcPr>
          <w:p w14:paraId="67D7F8DD" w14:textId="295B0BD1" w:rsidR="00755C4D" w:rsidRDefault="00755C4D" w:rsidP="00755C4D">
            <w:pPr>
              <w:pStyle w:val="TableBlock"/>
              <w:rPr>
                <w:sz w:val="26"/>
                <w:rtl/>
              </w:rPr>
            </w:pPr>
            <w:r>
              <w:rPr>
                <w:rtl/>
              </w:rPr>
              <w:t>"</w:t>
            </w:r>
            <w:r w:rsidRPr="00264A0F">
              <w:rPr>
                <w:rFonts w:hint="cs"/>
                <w:sz w:val="26"/>
                <w:rtl/>
              </w:rPr>
              <w:t xml:space="preserve">הרמטכ"ל" </w:t>
            </w:r>
            <w:r w:rsidRPr="00264A0F">
              <w:rPr>
                <w:sz w:val="26"/>
                <w:rtl/>
              </w:rPr>
              <w:t>–</w:t>
            </w:r>
            <w:r w:rsidRPr="00264A0F">
              <w:rPr>
                <w:rFonts w:hint="cs"/>
                <w:sz w:val="26"/>
                <w:rtl/>
              </w:rPr>
              <w:t xml:space="preserve"> ראש המטה הכללי של צבא הגנה לישראל</w:t>
            </w:r>
            <w:r>
              <w:rPr>
                <w:rFonts w:hint="cs"/>
                <w:sz w:val="26"/>
                <w:rtl/>
              </w:rPr>
              <w:t>;</w:t>
            </w:r>
          </w:p>
        </w:tc>
      </w:tr>
      <w:tr w:rsidR="00755C4D" w14:paraId="058D1088" w14:textId="77777777" w:rsidTr="00A91445">
        <w:trPr>
          <w:cantSplit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6AEDA793" w14:textId="77777777" w:rsidR="00755C4D" w:rsidRDefault="00755C4D" w:rsidP="00931648">
            <w:pPr>
              <w:pStyle w:val="TableSideHeading"/>
              <w:keepLines w:val="0"/>
              <w:rPr>
                <w:sz w:val="26"/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3A429EAD" w14:textId="77777777" w:rsidR="00755C4D" w:rsidRDefault="00755C4D" w:rsidP="00931648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nil"/>
              <w:right w:val="nil"/>
            </w:tcBorders>
          </w:tcPr>
          <w:p w14:paraId="28CE1875" w14:textId="24E114AA" w:rsidR="00755C4D" w:rsidRDefault="00755C4D" w:rsidP="004C1242">
            <w:pPr>
              <w:pStyle w:val="TableBlock"/>
              <w:rPr>
                <w:sz w:val="26"/>
                <w:rtl/>
              </w:rPr>
            </w:pPr>
            <w:r>
              <w:rPr>
                <w:rtl/>
              </w:rPr>
              <w:t>"</w:t>
            </w:r>
            <w:r w:rsidRPr="00264A0F">
              <w:rPr>
                <w:rFonts w:hint="cs"/>
                <w:sz w:val="26"/>
                <w:rtl/>
              </w:rPr>
              <w:t xml:space="preserve">השר" </w:t>
            </w:r>
            <w:r w:rsidRPr="00264A0F">
              <w:rPr>
                <w:sz w:val="26"/>
                <w:rtl/>
              </w:rPr>
              <w:t>–</w:t>
            </w:r>
            <w:r w:rsidRPr="00264A0F">
              <w:rPr>
                <w:rFonts w:hint="cs"/>
                <w:sz w:val="26"/>
                <w:rtl/>
              </w:rPr>
              <w:t xml:space="preserve"> שר הביטחון</w:t>
            </w:r>
            <w:r>
              <w:rPr>
                <w:rFonts w:hint="cs"/>
                <w:sz w:val="26"/>
                <w:rtl/>
              </w:rPr>
              <w:t>.</w:t>
            </w:r>
          </w:p>
        </w:tc>
      </w:tr>
      <w:tr w:rsidR="00755C4D" w14:paraId="349F01B3" w14:textId="77777777" w:rsidTr="00A91445">
        <w:trPr>
          <w:cantSplit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40D20334" w14:textId="76E3CB88" w:rsidR="00755C4D" w:rsidRDefault="00755C4D" w:rsidP="00931648">
            <w:pPr>
              <w:pStyle w:val="TableSideHeading"/>
              <w:keepLines w:val="0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מינוי ותקופת כהונה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53D1BBBB" w14:textId="045A9D09" w:rsidR="00755C4D" w:rsidRDefault="00755C4D" w:rsidP="00931648">
            <w:pPr>
              <w:pStyle w:val="TableText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2.</w:t>
            </w:r>
          </w:p>
        </w:tc>
        <w:tc>
          <w:tcPr>
            <w:tcW w:w="7146" w:type="dxa"/>
            <w:tcBorders>
              <w:top w:val="nil"/>
              <w:left w:val="nil"/>
              <w:bottom w:val="nil"/>
              <w:right w:val="nil"/>
            </w:tcBorders>
          </w:tcPr>
          <w:p w14:paraId="301BC69B" w14:textId="1125C0AA" w:rsidR="00755C4D" w:rsidRDefault="00755C4D" w:rsidP="00764180">
            <w:pPr>
              <w:pStyle w:val="TableBlock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(א)</w:t>
            </w:r>
            <w:r>
              <w:rPr>
                <w:sz w:val="26"/>
                <w:rtl/>
              </w:rPr>
              <w:tab/>
            </w:r>
            <w:r>
              <w:rPr>
                <w:rFonts w:hint="cs"/>
                <w:sz w:val="26"/>
                <w:rtl/>
              </w:rPr>
              <w:t>הרמטכ"ל יתמנה בידי הממשלה, לפי המלצת השר</w:t>
            </w:r>
            <w:r w:rsidR="00A91445">
              <w:rPr>
                <w:rFonts w:hint="cs"/>
                <w:sz w:val="26"/>
                <w:rtl/>
              </w:rPr>
              <w:t xml:space="preserve">, </w:t>
            </w:r>
            <w:r w:rsidR="00764180">
              <w:rPr>
                <w:rFonts w:hint="cs"/>
                <w:sz w:val="26"/>
                <w:rtl/>
              </w:rPr>
              <w:t xml:space="preserve">לכל המוקדם </w:t>
            </w:r>
            <w:r w:rsidR="00A91445">
              <w:rPr>
                <w:rFonts w:hint="cs"/>
                <w:sz w:val="26"/>
                <w:rtl/>
              </w:rPr>
              <w:t>ארבעה חודשים לפני תום כהונתו של הרמטכ"ל המכהן</w:t>
            </w:r>
            <w:r>
              <w:rPr>
                <w:rFonts w:hint="cs"/>
                <w:sz w:val="26"/>
                <w:rtl/>
              </w:rPr>
              <w:t>.</w:t>
            </w:r>
          </w:p>
        </w:tc>
      </w:tr>
      <w:tr w:rsidR="00755C4D" w14:paraId="4648BB4D" w14:textId="77777777" w:rsidTr="00A91445">
        <w:trPr>
          <w:cantSplit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47FC183B" w14:textId="77777777" w:rsidR="00755C4D" w:rsidRDefault="00755C4D" w:rsidP="00755C4D">
            <w:pPr>
              <w:pStyle w:val="TableSideHeading"/>
              <w:keepLines w:val="0"/>
              <w:rPr>
                <w:sz w:val="26"/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2D3A60BB" w14:textId="77777777" w:rsidR="00755C4D" w:rsidRDefault="00755C4D" w:rsidP="00755C4D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nil"/>
              <w:right w:val="nil"/>
            </w:tcBorders>
          </w:tcPr>
          <w:p w14:paraId="339DC2D9" w14:textId="23D7ED1E" w:rsidR="00755C4D" w:rsidRDefault="00755C4D" w:rsidP="004C1242">
            <w:pPr>
              <w:pStyle w:val="TableBlock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(ב)</w:t>
            </w:r>
            <w:r>
              <w:rPr>
                <w:sz w:val="26"/>
                <w:rtl/>
              </w:rPr>
              <w:tab/>
            </w:r>
            <w:r>
              <w:rPr>
                <w:rFonts w:hint="cs"/>
                <w:sz w:val="26"/>
                <w:rtl/>
              </w:rPr>
              <w:t>תקופת כהונתו של הרמטכ"ל תהיה ארבע שנים.</w:t>
            </w:r>
          </w:p>
        </w:tc>
      </w:tr>
      <w:tr w:rsidR="00755C4D" w14:paraId="7E55A6F0" w14:textId="77777777" w:rsidTr="00A91445">
        <w:trPr>
          <w:cantSplit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0F68A0EA" w14:textId="77777777" w:rsidR="00755C4D" w:rsidRDefault="00755C4D" w:rsidP="00755C4D">
            <w:pPr>
              <w:pStyle w:val="TableSideHeading"/>
              <w:keepLines w:val="0"/>
              <w:rPr>
                <w:sz w:val="26"/>
                <w:rtl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3BF1EADA" w14:textId="77777777" w:rsidR="00755C4D" w:rsidRDefault="00755C4D" w:rsidP="00755C4D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nil"/>
              <w:right w:val="nil"/>
            </w:tcBorders>
          </w:tcPr>
          <w:p w14:paraId="4ACB8FBA" w14:textId="4E401AF7" w:rsidR="00755C4D" w:rsidRDefault="00755C4D" w:rsidP="008F6C9E">
            <w:pPr>
              <w:pStyle w:val="TableBlock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(ג)</w:t>
            </w:r>
            <w:r>
              <w:rPr>
                <w:sz w:val="26"/>
                <w:rtl/>
              </w:rPr>
              <w:tab/>
            </w:r>
            <w:r>
              <w:rPr>
                <w:rFonts w:hint="cs"/>
                <w:sz w:val="26"/>
                <w:rtl/>
              </w:rPr>
              <w:t xml:space="preserve">על </w:t>
            </w:r>
            <w:r w:rsidRPr="004C1242">
              <w:rPr>
                <w:rFonts w:hint="cs"/>
                <w:sz w:val="26"/>
                <w:rtl/>
              </w:rPr>
              <w:t>אף האמור בסעיף קטן (ב), הממשלה</w:t>
            </w:r>
            <w:r w:rsidR="008F6C9E" w:rsidRPr="004C1242">
              <w:rPr>
                <w:rFonts w:hint="cs"/>
                <w:sz w:val="26"/>
                <w:rtl/>
              </w:rPr>
              <w:t xml:space="preserve"> </w:t>
            </w:r>
            <w:r w:rsidR="008F6C9E" w:rsidRPr="004C1242">
              <w:rPr>
                <w:rFonts w:hint="cs"/>
                <w:sz w:val="26"/>
                <w:rtl/>
              </w:rPr>
              <w:t>רשאית</w:t>
            </w:r>
            <w:r w:rsidRPr="004C1242">
              <w:rPr>
                <w:rFonts w:hint="cs"/>
                <w:sz w:val="26"/>
                <w:rtl/>
              </w:rPr>
              <w:t>, בנסיבות חירום</w:t>
            </w:r>
            <w:r w:rsidR="00A91445" w:rsidRPr="004C1242">
              <w:rPr>
                <w:rFonts w:hint="cs"/>
                <w:sz w:val="26"/>
                <w:rtl/>
              </w:rPr>
              <w:t xml:space="preserve"> </w:t>
            </w:r>
            <w:r w:rsidR="00A91445" w:rsidRPr="004C1242">
              <w:rPr>
                <w:rFonts w:hint="eastAsia"/>
                <w:sz w:val="26"/>
                <w:rtl/>
              </w:rPr>
              <w:t>ולפי</w:t>
            </w:r>
            <w:r w:rsidR="00A91445" w:rsidRPr="004C1242">
              <w:rPr>
                <w:sz w:val="26"/>
                <w:rtl/>
              </w:rPr>
              <w:t xml:space="preserve"> </w:t>
            </w:r>
            <w:r w:rsidR="00A91445" w:rsidRPr="004C1242">
              <w:rPr>
                <w:rFonts w:hint="eastAsia"/>
                <w:sz w:val="26"/>
                <w:rtl/>
              </w:rPr>
              <w:t>המלצת</w:t>
            </w:r>
            <w:r w:rsidR="00A91445" w:rsidRPr="004C1242">
              <w:rPr>
                <w:sz w:val="26"/>
                <w:rtl/>
              </w:rPr>
              <w:t xml:space="preserve"> </w:t>
            </w:r>
            <w:r w:rsidR="00A91445" w:rsidRPr="004C1242">
              <w:rPr>
                <w:rFonts w:hint="eastAsia"/>
                <w:sz w:val="26"/>
                <w:rtl/>
              </w:rPr>
              <w:t>השר</w:t>
            </w:r>
            <w:r w:rsidRPr="004C1242">
              <w:rPr>
                <w:rFonts w:hint="cs"/>
                <w:sz w:val="26"/>
                <w:rtl/>
              </w:rPr>
              <w:t xml:space="preserve">, להאריך את כהונתו של הרמטכ"ל בתקופה נוספת, </w:t>
            </w:r>
            <w:r w:rsidR="00A91445" w:rsidRPr="004C1242">
              <w:rPr>
                <w:rFonts w:hint="cs"/>
                <w:sz w:val="26"/>
                <w:rtl/>
              </w:rPr>
              <w:t>כל עוד מתקיימות נסיבות</w:t>
            </w:r>
            <w:r w:rsidR="00A91445">
              <w:rPr>
                <w:rFonts w:hint="cs"/>
                <w:sz w:val="26"/>
                <w:rtl/>
              </w:rPr>
              <w:t xml:space="preserve"> החירום, ובלבד שלא תוארך כהונתו בתקופה העולה על שישה חודשים.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7372F82D" w14:textId="1A29B16C" w:rsidR="00150109" w:rsidRPr="008F6C9E" w:rsidRDefault="00150109" w:rsidP="008F6C9E">
      <w:pPr>
        <w:pStyle w:val="Hesber"/>
        <w:spacing w:after="0" w:line="240" w:lineRule="auto"/>
        <w:ind w:left="0" w:firstLine="340"/>
        <w:rPr>
          <w:rtl/>
        </w:rPr>
      </w:pPr>
      <w:r w:rsidRPr="008F6C9E">
        <w:rPr>
          <w:rFonts w:hint="cs"/>
          <w:rtl/>
        </w:rPr>
        <w:t>צבא הגנה לישראל</w:t>
      </w:r>
      <w:r w:rsidR="008F6C9E">
        <w:rPr>
          <w:rtl/>
        </w:rPr>
        <w:t>, שמעמדו מוסדר בסעיף 1 לחוק</w:t>
      </w:r>
      <w:r w:rsidR="008F6C9E">
        <w:rPr>
          <w:rFonts w:hint="cs"/>
          <w:rtl/>
        </w:rPr>
        <w:t>-</w:t>
      </w:r>
      <w:r w:rsidRPr="008F6C9E">
        <w:rPr>
          <w:rtl/>
        </w:rPr>
        <w:t>יסוד: הצבא, כצבאה של המדינה, אמון על הגנת המדינה, באוויר ביום וב</w:t>
      </w:r>
      <w:r w:rsidR="008F6C9E">
        <w:rPr>
          <w:rtl/>
        </w:rPr>
        <w:t>יבשה, ועל השגת יעדיה הביטחוניים</w:t>
      </w:r>
      <w:r w:rsidR="008F6C9E">
        <w:rPr>
          <w:rFonts w:hint="cs"/>
          <w:rtl/>
        </w:rPr>
        <w:t>-</w:t>
      </w:r>
      <w:bookmarkStart w:id="7" w:name="_GoBack"/>
      <w:bookmarkEnd w:id="7"/>
      <w:r w:rsidRPr="008F6C9E">
        <w:rPr>
          <w:rtl/>
        </w:rPr>
        <w:t xml:space="preserve">לאומיים. </w:t>
      </w:r>
    </w:p>
    <w:p w14:paraId="1CA7BA9B" w14:textId="7E95B558" w:rsidR="00150109" w:rsidRPr="004C1242" w:rsidRDefault="00150109" w:rsidP="008F6C9E">
      <w:pPr>
        <w:pStyle w:val="Hesber"/>
        <w:spacing w:after="0" w:line="240" w:lineRule="auto"/>
        <w:ind w:left="0" w:firstLine="340"/>
        <w:rPr>
          <w:rtl/>
        </w:rPr>
      </w:pPr>
      <w:r w:rsidRPr="004C1242">
        <w:rPr>
          <w:rFonts w:hint="eastAsia"/>
          <w:rtl/>
        </w:rPr>
        <w:t>סעיף</w:t>
      </w:r>
      <w:r w:rsidR="008F6C9E">
        <w:rPr>
          <w:rtl/>
        </w:rPr>
        <w:t xml:space="preserve"> 3(א) לחוק</w:t>
      </w:r>
      <w:r w:rsidR="008F6C9E">
        <w:rPr>
          <w:rFonts w:hint="cs"/>
          <w:rtl/>
        </w:rPr>
        <w:t>-</w:t>
      </w:r>
      <w:r w:rsidRPr="004C1242">
        <w:rPr>
          <w:rtl/>
        </w:rPr>
        <w:t xml:space="preserve">יסוד: הצבא, שעניינו ראש המטה הכללי (להלן </w:t>
      </w:r>
      <w:r w:rsidRPr="004C1242">
        <w:rPr>
          <w:rFonts w:hint="eastAsia"/>
          <w:rtl/>
        </w:rPr>
        <w:t>–</w:t>
      </w:r>
      <w:r w:rsidRPr="004C1242">
        <w:rPr>
          <w:rtl/>
        </w:rPr>
        <w:t xml:space="preserve"> </w:t>
      </w:r>
      <w:r w:rsidRPr="004C1242">
        <w:rPr>
          <w:rFonts w:hint="eastAsia"/>
          <w:rtl/>
        </w:rPr>
        <w:t>הרמטכ</w:t>
      </w:r>
      <w:r w:rsidRPr="004C1242">
        <w:rPr>
          <w:rtl/>
        </w:rPr>
        <w:t xml:space="preserve">"ל) קובע </w:t>
      </w:r>
      <w:r w:rsidRPr="004C1242">
        <w:rPr>
          <w:rFonts w:hint="eastAsia"/>
          <w:rtl/>
        </w:rPr>
        <w:t>כי</w:t>
      </w:r>
      <w:r w:rsidRPr="004C1242">
        <w:rPr>
          <w:rtl/>
        </w:rPr>
        <w:t xml:space="preserve"> </w:t>
      </w:r>
      <w:r w:rsidRPr="004C1242">
        <w:rPr>
          <w:rFonts w:hint="eastAsia"/>
          <w:rtl/>
        </w:rPr>
        <w:t>הרמטכ</w:t>
      </w:r>
      <w:r w:rsidRPr="004C1242">
        <w:rPr>
          <w:rtl/>
        </w:rPr>
        <w:t xml:space="preserve">"ל </w:t>
      </w:r>
      <w:r w:rsidRPr="004C1242">
        <w:rPr>
          <w:rFonts w:hint="eastAsia"/>
          <w:rtl/>
        </w:rPr>
        <w:t>הוא</w:t>
      </w:r>
      <w:r w:rsidRPr="004C1242">
        <w:rPr>
          <w:rtl/>
        </w:rPr>
        <w:t xml:space="preserve"> </w:t>
      </w:r>
      <w:r w:rsidRPr="004C1242">
        <w:rPr>
          <w:rFonts w:hint="eastAsia"/>
          <w:rtl/>
        </w:rPr>
        <w:t>הדרג</w:t>
      </w:r>
      <w:r w:rsidRPr="004C1242">
        <w:rPr>
          <w:rtl/>
        </w:rPr>
        <w:t xml:space="preserve"> </w:t>
      </w:r>
      <w:r w:rsidRPr="004C1242">
        <w:rPr>
          <w:rFonts w:hint="eastAsia"/>
          <w:rtl/>
        </w:rPr>
        <w:t>הפיקודי</w:t>
      </w:r>
      <w:r w:rsidRPr="004C1242">
        <w:rPr>
          <w:rtl/>
        </w:rPr>
        <w:t xml:space="preserve"> </w:t>
      </w:r>
      <w:r w:rsidRPr="004C1242">
        <w:rPr>
          <w:rFonts w:hint="eastAsia"/>
          <w:rtl/>
        </w:rPr>
        <w:t>העליון</w:t>
      </w:r>
      <w:r w:rsidRPr="004C1242">
        <w:rPr>
          <w:rtl/>
        </w:rPr>
        <w:t xml:space="preserve"> </w:t>
      </w:r>
      <w:r w:rsidRPr="004C1242">
        <w:rPr>
          <w:rFonts w:hint="eastAsia"/>
          <w:rtl/>
        </w:rPr>
        <w:t>בצבא</w:t>
      </w:r>
      <w:r w:rsidRPr="004C1242">
        <w:rPr>
          <w:rtl/>
        </w:rPr>
        <w:t xml:space="preserve"> </w:t>
      </w:r>
      <w:r w:rsidRPr="004C1242">
        <w:rPr>
          <w:rFonts w:hint="eastAsia"/>
          <w:rtl/>
        </w:rPr>
        <w:t>והוא</w:t>
      </w:r>
      <w:r w:rsidRPr="004C1242">
        <w:rPr>
          <w:rtl/>
        </w:rPr>
        <w:t xml:space="preserve"> </w:t>
      </w:r>
      <w:r w:rsidRPr="004C1242">
        <w:rPr>
          <w:rFonts w:hint="eastAsia"/>
          <w:rtl/>
        </w:rPr>
        <w:t>נתון</w:t>
      </w:r>
      <w:r w:rsidRPr="004C1242">
        <w:rPr>
          <w:rtl/>
        </w:rPr>
        <w:t xml:space="preserve"> </w:t>
      </w:r>
      <w:r w:rsidRPr="004C1242">
        <w:rPr>
          <w:rFonts w:hint="eastAsia"/>
          <w:rtl/>
        </w:rPr>
        <w:t>למרות</w:t>
      </w:r>
      <w:r w:rsidRPr="004C1242">
        <w:rPr>
          <w:rtl/>
        </w:rPr>
        <w:t xml:space="preserve"> </w:t>
      </w:r>
      <w:r w:rsidRPr="004C1242">
        <w:rPr>
          <w:rFonts w:hint="eastAsia"/>
          <w:rtl/>
        </w:rPr>
        <w:t>הממשלה</w:t>
      </w:r>
      <w:r w:rsidRPr="004C1242">
        <w:rPr>
          <w:rtl/>
        </w:rPr>
        <w:t xml:space="preserve"> </w:t>
      </w:r>
      <w:r w:rsidRPr="004C1242">
        <w:rPr>
          <w:rFonts w:hint="eastAsia"/>
          <w:rtl/>
        </w:rPr>
        <w:t>וכפוף</w:t>
      </w:r>
      <w:r w:rsidRPr="004C1242">
        <w:rPr>
          <w:rtl/>
        </w:rPr>
        <w:t xml:space="preserve"> </w:t>
      </w:r>
      <w:r w:rsidRPr="004C1242">
        <w:rPr>
          <w:rFonts w:hint="eastAsia"/>
          <w:rtl/>
        </w:rPr>
        <w:t>לשר</w:t>
      </w:r>
      <w:r w:rsidRPr="004C1242">
        <w:rPr>
          <w:rtl/>
        </w:rPr>
        <w:t xml:space="preserve"> </w:t>
      </w:r>
      <w:r w:rsidRPr="004C1242">
        <w:rPr>
          <w:rFonts w:hint="eastAsia"/>
          <w:rtl/>
        </w:rPr>
        <w:t>הביטחון</w:t>
      </w:r>
      <w:r w:rsidRPr="004C1242">
        <w:rPr>
          <w:rtl/>
        </w:rPr>
        <w:t xml:space="preserve">. </w:t>
      </w:r>
      <w:r w:rsidRPr="004C1242">
        <w:rPr>
          <w:rFonts w:hint="eastAsia"/>
          <w:rtl/>
        </w:rPr>
        <w:t>סעיף</w:t>
      </w:r>
      <w:r w:rsidRPr="004C1242">
        <w:rPr>
          <w:rtl/>
        </w:rPr>
        <w:t xml:space="preserve"> 3(ב) </w:t>
      </w:r>
      <w:r w:rsidRPr="004C1242">
        <w:rPr>
          <w:rFonts w:hint="eastAsia"/>
          <w:rtl/>
        </w:rPr>
        <w:t>לחוק</w:t>
      </w:r>
      <w:r w:rsidRPr="004C1242">
        <w:rPr>
          <w:rtl/>
        </w:rPr>
        <w:t xml:space="preserve"> </w:t>
      </w:r>
      <w:r w:rsidRPr="004C1242">
        <w:rPr>
          <w:rFonts w:hint="eastAsia"/>
          <w:rtl/>
        </w:rPr>
        <w:t>היסוד</w:t>
      </w:r>
      <w:r w:rsidRPr="004C1242">
        <w:rPr>
          <w:rtl/>
        </w:rPr>
        <w:t xml:space="preserve"> קובע </w:t>
      </w:r>
      <w:r w:rsidRPr="004C1242">
        <w:rPr>
          <w:rFonts w:hint="eastAsia"/>
          <w:rtl/>
        </w:rPr>
        <w:t>כי</w:t>
      </w:r>
      <w:r w:rsidRPr="004C1242">
        <w:rPr>
          <w:rtl/>
        </w:rPr>
        <w:t xml:space="preserve"> </w:t>
      </w:r>
      <w:r w:rsidRPr="004C1242">
        <w:rPr>
          <w:rFonts w:hint="eastAsia"/>
          <w:rtl/>
        </w:rPr>
        <w:t>הרמטכ</w:t>
      </w:r>
      <w:r w:rsidRPr="004C1242">
        <w:rPr>
          <w:rtl/>
        </w:rPr>
        <w:t xml:space="preserve">"ל </w:t>
      </w:r>
      <w:r w:rsidRPr="004C1242">
        <w:rPr>
          <w:rFonts w:hint="eastAsia"/>
          <w:rtl/>
        </w:rPr>
        <w:t>יתמנה</w:t>
      </w:r>
      <w:r w:rsidRPr="004C1242">
        <w:rPr>
          <w:rtl/>
        </w:rPr>
        <w:t xml:space="preserve"> </w:t>
      </w:r>
      <w:r w:rsidRPr="004C1242">
        <w:rPr>
          <w:rFonts w:hint="eastAsia"/>
          <w:rtl/>
        </w:rPr>
        <w:t>בידי</w:t>
      </w:r>
      <w:r w:rsidRPr="004C1242">
        <w:rPr>
          <w:rtl/>
        </w:rPr>
        <w:t xml:space="preserve"> </w:t>
      </w:r>
      <w:r w:rsidRPr="004C1242">
        <w:rPr>
          <w:rFonts w:hint="eastAsia"/>
          <w:rtl/>
        </w:rPr>
        <w:t>הממשלה</w:t>
      </w:r>
      <w:r w:rsidRPr="004C1242">
        <w:rPr>
          <w:rtl/>
        </w:rPr>
        <w:t xml:space="preserve"> </w:t>
      </w:r>
      <w:r w:rsidRPr="004C1242">
        <w:rPr>
          <w:rFonts w:hint="eastAsia"/>
          <w:rtl/>
        </w:rPr>
        <w:t>לפי</w:t>
      </w:r>
      <w:r w:rsidRPr="004C1242">
        <w:rPr>
          <w:rtl/>
        </w:rPr>
        <w:t xml:space="preserve"> </w:t>
      </w:r>
      <w:r w:rsidRPr="004C1242">
        <w:rPr>
          <w:rFonts w:hint="eastAsia"/>
          <w:rtl/>
        </w:rPr>
        <w:t>המלצת</w:t>
      </w:r>
      <w:r w:rsidRPr="004C1242">
        <w:rPr>
          <w:rtl/>
        </w:rPr>
        <w:t xml:space="preserve"> </w:t>
      </w:r>
      <w:r w:rsidRPr="004C1242">
        <w:rPr>
          <w:rFonts w:hint="eastAsia"/>
          <w:rtl/>
        </w:rPr>
        <w:t>שר</w:t>
      </w:r>
      <w:r w:rsidRPr="004C1242">
        <w:rPr>
          <w:rtl/>
        </w:rPr>
        <w:t xml:space="preserve"> </w:t>
      </w:r>
      <w:r w:rsidRPr="004C1242">
        <w:rPr>
          <w:rFonts w:hint="eastAsia"/>
          <w:rtl/>
        </w:rPr>
        <w:t>הביטחון</w:t>
      </w:r>
      <w:r w:rsidRPr="004C1242">
        <w:rPr>
          <w:rtl/>
        </w:rPr>
        <w:t xml:space="preserve">. </w:t>
      </w:r>
      <w:r w:rsidRPr="004C1242">
        <w:rPr>
          <w:rFonts w:hint="eastAsia"/>
          <w:rtl/>
        </w:rPr>
        <w:t>עם</w:t>
      </w:r>
      <w:r w:rsidRPr="004C1242">
        <w:rPr>
          <w:rtl/>
        </w:rPr>
        <w:t xml:space="preserve"> </w:t>
      </w:r>
      <w:r w:rsidRPr="004C1242">
        <w:rPr>
          <w:rFonts w:hint="eastAsia"/>
          <w:rtl/>
        </w:rPr>
        <w:t>זאת</w:t>
      </w:r>
      <w:r w:rsidRPr="004C1242">
        <w:rPr>
          <w:rtl/>
        </w:rPr>
        <w:t xml:space="preserve">, </w:t>
      </w:r>
      <w:r w:rsidRPr="004C1242">
        <w:rPr>
          <w:rFonts w:hint="eastAsia"/>
          <w:rtl/>
        </w:rPr>
        <w:t>לא</w:t>
      </w:r>
      <w:r w:rsidRPr="004C1242">
        <w:rPr>
          <w:rtl/>
        </w:rPr>
        <w:t xml:space="preserve"> </w:t>
      </w:r>
      <w:r w:rsidRPr="004C1242">
        <w:rPr>
          <w:rFonts w:hint="eastAsia"/>
          <w:rtl/>
        </w:rPr>
        <w:t>נקבעו</w:t>
      </w:r>
      <w:r w:rsidRPr="004C1242">
        <w:rPr>
          <w:rtl/>
        </w:rPr>
        <w:t xml:space="preserve"> </w:t>
      </w:r>
      <w:r w:rsidRPr="004C1242">
        <w:rPr>
          <w:rFonts w:hint="eastAsia"/>
          <w:rtl/>
        </w:rPr>
        <w:t>בחוק</w:t>
      </w:r>
      <w:r w:rsidRPr="004C1242">
        <w:rPr>
          <w:rtl/>
        </w:rPr>
        <w:t xml:space="preserve"> </w:t>
      </w:r>
      <w:r w:rsidRPr="004C1242">
        <w:rPr>
          <w:rFonts w:hint="eastAsia"/>
          <w:rtl/>
        </w:rPr>
        <w:t>היסוד</w:t>
      </w:r>
      <w:r w:rsidRPr="004C1242">
        <w:rPr>
          <w:rtl/>
        </w:rPr>
        <w:t xml:space="preserve"> </w:t>
      </w:r>
      <w:r w:rsidRPr="004C1242">
        <w:rPr>
          <w:rFonts w:hint="eastAsia"/>
          <w:rtl/>
        </w:rPr>
        <w:t>האמור</w:t>
      </w:r>
      <w:r w:rsidRPr="004C1242">
        <w:rPr>
          <w:rtl/>
        </w:rPr>
        <w:t xml:space="preserve">, </w:t>
      </w:r>
      <w:r w:rsidRPr="004C1242">
        <w:rPr>
          <w:rFonts w:hint="eastAsia"/>
          <w:rtl/>
        </w:rPr>
        <w:t>הוראות</w:t>
      </w:r>
      <w:r w:rsidRPr="004C1242">
        <w:rPr>
          <w:rtl/>
        </w:rPr>
        <w:t xml:space="preserve"> </w:t>
      </w:r>
      <w:r w:rsidRPr="004C1242">
        <w:rPr>
          <w:rFonts w:hint="eastAsia"/>
          <w:rtl/>
        </w:rPr>
        <w:t>לעניין</w:t>
      </w:r>
      <w:r w:rsidRPr="004C1242">
        <w:rPr>
          <w:rtl/>
        </w:rPr>
        <w:t xml:space="preserve"> </w:t>
      </w:r>
      <w:r w:rsidRPr="004C1242">
        <w:rPr>
          <w:rFonts w:hint="eastAsia"/>
          <w:rtl/>
        </w:rPr>
        <w:t>תקופת</w:t>
      </w:r>
      <w:r w:rsidRPr="004C1242">
        <w:rPr>
          <w:rtl/>
        </w:rPr>
        <w:t xml:space="preserve"> </w:t>
      </w:r>
      <w:r w:rsidRPr="004C1242">
        <w:rPr>
          <w:rFonts w:hint="eastAsia"/>
          <w:rtl/>
        </w:rPr>
        <w:t>כהונתו</w:t>
      </w:r>
      <w:r w:rsidRPr="004C1242">
        <w:rPr>
          <w:rtl/>
        </w:rPr>
        <w:t xml:space="preserve"> </w:t>
      </w:r>
      <w:r w:rsidRPr="004C1242">
        <w:rPr>
          <w:rFonts w:hint="eastAsia"/>
          <w:rtl/>
        </w:rPr>
        <w:t>בתפקידו</w:t>
      </w:r>
      <w:r w:rsidRPr="004C1242">
        <w:rPr>
          <w:rtl/>
        </w:rPr>
        <w:t>.</w:t>
      </w:r>
    </w:p>
    <w:p w14:paraId="69AE8148" w14:textId="614883DE" w:rsidR="00150109" w:rsidRDefault="00150109" w:rsidP="008F6C9E">
      <w:pPr>
        <w:spacing w:after="0" w:line="240" w:lineRule="auto"/>
        <w:ind w:left="0" w:firstLine="340"/>
        <w:rPr>
          <w:rFonts w:ascii="Arial" w:eastAsia="Arial Unicode MS" w:hAnsi="Arial"/>
          <w:snapToGrid w:val="0"/>
          <w:sz w:val="20"/>
          <w:szCs w:val="26"/>
          <w:rtl/>
        </w:rPr>
      </w:pPr>
      <w:r w:rsidRPr="004C1242">
        <w:rPr>
          <w:rFonts w:ascii="Arial" w:eastAsia="Arial Unicode MS" w:hAnsi="Arial" w:hint="eastAsia"/>
          <w:snapToGrid w:val="0"/>
          <w:sz w:val="20"/>
          <w:szCs w:val="26"/>
          <w:rtl/>
        </w:rPr>
        <w:t>תפקיד</w:t>
      </w:r>
      <w:r w:rsidRPr="004C1242">
        <w:rPr>
          <w:rFonts w:ascii="Arial" w:eastAsia="Arial Unicode MS" w:hAnsi="Arial"/>
          <w:snapToGrid w:val="0"/>
          <w:sz w:val="20"/>
          <w:szCs w:val="26"/>
          <w:rtl/>
        </w:rPr>
        <w:t xml:space="preserve"> הרמטכ"ל הוא אולי אחד התפקידים המשמעותיים ביותר בממשל מדינת ישראל והשפעת </w:t>
      </w:r>
      <w:r w:rsidRPr="004C1242">
        <w:rPr>
          <w:rFonts w:ascii="Arial" w:eastAsia="Arial Unicode MS" w:hAnsi="Arial" w:hint="eastAsia"/>
          <w:snapToGrid w:val="0"/>
          <w:sz w:val="20"/>
          <w:szCs w:val="26"/>
          <w:rtl/>
        </w:rPr>
        <w:t>הצבא</w:t>
      </w:r>
      <w:r w:rsidRPr="004C1242">
        <w:rPr>
          <w:rFonts w:ascii="Arial" w:eastAsia="Arial Unicode MS" w:hAnsi="Arial"/>
          <w:snapToGrid w:val="0"/>
          <w:sz w:val="20"/>
          <w:szCs w:val="26"/>
          <w:rtl/>
        </w:rPr>
        <w:t xml:space="preserve"> קריטית בתחומים רבים ובראש ובראשונה </w:t>
      </w:r>
      <w:r w:rsidR="008F6C9E">
        <w:rPr>
          <w:rFonts w:ascii="Arial" w:eastAsia="Arial Unicode MS" w:hAnsi="Arial" w:hint="cs"/>
          <w:snapToGrid w:val="0"/>
          <w:sz w:val="20"/>
          <w:szCs w:val="26"/>
          <w:rtl/>
        </w:rPr>
        <w:t>בתחום</w:t>
      </w:r>
      <w:r w:rsidRPr="004C1242">
        <w:rPr>
          <w:rFonts w:ascii="Arial" w:eastAsia="Arial Unicode MS" w:hAnsi="Arial"/>
          <w:snapToGrid w:val="0"/>
          <w:sz w:val="20"/>
          <w:szCs w:val="26"/>
          <w:rtl/>
        </w:rPr>
        <w:t xml:space="preserve"> ביטחון המדינה. ראוי למנוע את אי הו</w:t>
      </w:r>
      <w:r w:rsidRPr="004C1242">
        <w:rPr>
          <w:rFonts w:ascii="Arial" w:eastAsia="Arial Unicode MS" w:hAnsi="Arial" w:hint="eastAsia"/>
          <w:snapToGrid w:val="0"/>
          <w:sz w:val="20"/>
          <w:szCs w:val="26"/>
          <w:rtl/>
        </w:rPr>
        <w:t>ו</w:t>
      </w:r>
      <w:r w:rsidRPr="004C1242">
        <w:rPr>
          <w:rFonts w:ascii="Arial" w:eastAsia="Arial Unicode MS" w:hAnsi="Arial"/>
          <w:snapToGrid w:val="0"/>
          <w:sz w:val="20"/>
          <w:szCs w:val="26"/>
          <w:rtl/>
        </w:rPr>
        <w:t xml:space="preserve">דאות בתפקיד כה רגיש והתלות בממשלה. </w:t>
      </w:r>
      <w:r w:rsidRPr="004C1242">
        <w:rPr>
          <w:rFonts w:ascii="Arial" w:eastAsia="Arial Unicode MS" w:hAnsi="Arial" w:hint="eastAsia"/>
          <w:snapToGrid w:val="0"/>
          <w:sz w:val="20"/>
          <w:szCs w:val="26"/>
          <w:rtl/>
        </w:rPr>
        <w:t>לפיכך</w:t>
      </w:r>
      <w:r w:rsidRPr="004C1242">
        <w:rPr>
          <w:rFonts w:ascii="Arial" w:eastAsia="Arial Unicode MS" w:hAnsi="Arial"/>
          <w:snapToGrid w:val="0"/>
          <w:sz w:val="20"/>
          <w:szCs w:val="26"/>
          <w:rtl/>
        </w:rPr>
        <w:t xml:space="preserve"> </w:t>
      </w:r>
      <w:r w:rsidRPr="004C1242">
        <w:rPr>
          <w:rFonts w:ascii="Arial" w:eastAsia="Arial Unicode MS" w:hAnsi="Arial" w:hint="eastAsia"/>
          <w:snapToGrid w:val="0"/>
          <w:sz w:val="20"/>
          <w:szCs w:val="26"/>
          <w:rtl/>
        </w:rPr>
        <w:t>מוצע</w:t>
      </w:r>
      <w:r w:rsidRPr="004C1242">
        <w:rPr>
          <w:rFonts w:ascii="Arial" w:eastAsia="Arial Unicode MS" w:hAnsi="Arial"/>
          <w:snapToGrid w:val="0"/>
          <w:sz w:val="20"/>
          <w:szCs w:val="26"/>
          <w:rtl/>
        </w:rPr>
        <w:t xml:space="preserve"> </w:t>
      </w:r>
      <w:r w:rsidRPr="004C1242">
        <w:rPr>
          <w:rFonts w:ascii="Arial" w:eastAsia="Arial Unicode MS" w:hAnsi="Arial" w:hint="eastAsia"/>
          <w:snapToGrid w:val="0"/>
          <w:sz w:val="20"/>
          <w:szCs w:val="26"/>
          <w:rtl/>
        </w:rPr>
        <w:t>להסדיר</w:t>
      </w:r>
      <w:r w:rsidRPr="004C1242">
        <w:rPr>
          <w:rFonts w:ascii="Arial" w:eastAsia="Arial Unicode MS" w:hAnsi="Arial"/>
          <w:snapToGrid w:val="0"/>
          <w:sz w:val="20"/>
          <w:szCs w:val="26"/>
          <w:rtl/>
        </w:rPr>
        <w:t xml:space="preserve"> </w:t>
      </w:r>
      <w:r w:rsidRPr="004C1242">
        <w:rPr>
          <w:rFonts w:ascii="Arial" w:eastAsia="Arial Unicode MS" w:hAnsi="Arial" w:hint="eastAsia"/>
          <w:snapToGrid w:val="0"/>
          <w:sz w:val="20"/>
          <w:szCs w:val="26"/>
          <w:rtl/>
        </w:rPr>
        <w:t>בחוק</w:t>
      </w:r>
      <w:r w:rsidRPr="004C1242">
        <w:rPr>
          <w:rFonts w:ascii="Arial" w:eastAsia="Arial Unicode MS" w:hAnsi="Arial"/>
          <w:snapToGrid w:val="0"/>
          <w:sz w:val="20"/>
          <w:szCs w:val="26"/>
          <w:rtl/>
        </w:rPr>
        <w:t xml:space="preserve"> </w:t>
      </w:r>
      <w:r w:rsidRPr="004C1242">
        <w:rPr>
          <w:rFonts w:ascii="Arial" w:eastAsia="Arial Unicode MS" w:hAnsi="Arial" w:hint="eastAsia"/>
          <w:snapToGrid w:val="0"/>
          <w:sz w:val="20"/>
          <w:szCs w:val="26"/>
          <w:rtl/>
        </w:rPr>
        <w:t>את</w:t>
      </w:r>
      <w:r w:rsidRPr="004C1242">
        <w:rPr>
          <w:rFonts w:ascii="Arial" w:eastAsia="Arial Unicode MS" w:hAnsi="Arial"/>
          <w:snapToGrid w:val="0"/>
          <w:sz w:val="20"/>
          <w:szCs w:val="26"/>
          <w:rtl/>
        </w:rPr>
        <w:t xml:space="preserve"> </w:t>
      </w:r>
      <w:r w:rsidRPr="004C1242">
        <w:rPr>
          <w:rFonts w:ascii="Arial" w:eastAsia="Arial Unicode MS" w:hAnsi="Arial" w:hint="eastAsia"/>
          <w:snapToGrid w:val="0"/>
          <w:sz w:val="20"/>
          <w:szCs w:val="26"/>
          <w:rtl/>
        </w:rPr>
        <w:t>תקופת</w:t>
      </w:r>
      <w:r w:rsidRPr="004C1242">
        <w:rPr>
          <w:rFonts w:ascii="Arial" w:eastAsia="Arial Unicode MS" w:hAnsi="Arial"/>
          <w:snapToGrid w:val="0"/>
          <w:sz w:val="20"/>
          <w:szCs w:val="26"/>
          <w:rtl/>
        </w:rPr>
        <w:t xml:space="preserve"> </w:t>
      </w:r>
      <w:r w:rsidRPr="004C1242">
        <w:rPr>
          <w:rFonts w:ascii="Arial" w:eastAsia="Arial Unicode MS" w:hAnsi="Arial" w:hint="eastAsia"/>
          <w:snapToGrid w:val="0"/>
          <w:sz w:val="20"/>
          <w:szCs w:val="26"/>
          <w:rtl/>
        </w:rPr>
        <w:t>כהונתו</w:t>
      </w:r>
      <w:r w:rsidRPr="004C1242">
        <w:rPr>
          <w:rFonts w:ascii="Arial" w:eastAsia="Arial Unicode MS" w:hAnsi="Arial"/>
          <w:snapToGrid w:val="0"/>
          <w:sz w:val="20"/>
          <w:szCs w:val="26"/>
          <w:rtl/>
        </w:rPr>
        <w:t xml:space="preserve"> </w:t>
      </w:r>
      <w:r w:rsidRPr="004C1242">
        <w:rPr>
          <w:rFonts w:ascii="Arial" w:eastAsia="Arial Unicode MS" w:hAnsi="Arial" w:hint="eastAsia"/>
          <w:snapToGrid w:val="0"/>
          <w:sz w:val="20"/>
          <w:szCs w:val="26"/>
          <w:rtl/>
        </w:rPr>
        <w:t>של</w:t>
      </w:r>
      <w:r w:rsidRPr="004C1242">
        <w:rPr>
          <w:rFonts w:ascii="Arial" w:eastAsia="Arial Unicode MS" w:hAnsi="Arial"/>
          <w:snapToGrid w:val="0"/>
          <w:sz w:val="20"/>
          <w:szCs w:val="26"/>
          <w:rtl/>
        </w:rPr>
        <w:t xml:space="preserve"> </w:t>
      </w:r>
      <w:r w:rsidRPr="004C1242">
        <w:rPr>
          <w:rFonts w:ascii="Arial" w:eastAsia="Arial Unicode MS" w:hAnsi="Arial" w:hint="eastAsia"/>
          <w:snapToGrid w:val="0"/>
          <w:sz w:val="20"/>
          <w:szCs w:val="26"/>
          <w:rtl/>
        </w:rPr>
        <w:t>הרמטכ</w:t>
      </w:r>
      <w:r w:rsidRPr="004C1242">
        <w:rPr>
          <w:rFonts w:ascii="Arial" w:eastAsia="Arial Unicode MS" w:hAnsi="Arial"/>
          <w:snapToGrid w:val="0"/>
          <w:sz w:val="20"/>
          <w:szCs w:val="26"/>
          <w:rtl/>
        </w:rPr>
        <w:t>"ל ולהעמידה על ארבע שנים. כן מוצע לקבוע כי בנסיבות חירום, הממשלה תהיה רשאית להאריך את כהונתו של הרמטכ"ל לתקופה נוספת שלא תעלה על שישה חודשים.</w:t>
      </w:r>
    </w:p>
    <w:p w14:paraId="35F7C885" w14:textId="77777777" w:rsidR="008F6C9E" w:rsidRDefault="008F6C9E" w:rsidP="008F6C9E">
      <w:pPr>
        <w:spacing w:after="0" w:line="240" w:lineRule="auto"/>
        <w:ind w:left="0" w:firstLine="340"/>
        <w:rPr>
          <w:rFonts w:ascii="Arial" w:eastAsia="Arial Unicode MS" w:hAnsi="Arial"/>
          <w:snapToGrid w:val="0"/>
          <w:sz w:val="20"/>
          <w:szCs w:val="26"/>
          <w:rtl/>
        </w:rPr>
      </w:pPr>
    </w:p>
    <w:p w14:paraId="596F653F" w14:textId="77777777" w:rsidR="008F6C9E" w:rsidRPr="00D73212" w:rsidRDefault="008F6C9E" w:rsidP="008F6C9E">
      <w:pPr>
        <w:pStyle w:val="Hesber"/>
        <w:spacing w:line="240" w:lineRule="auto"/>
        <w:rPr>
          <w:rtl/>
        </w:rPr>
      </w:pPr>
      <w:r w:rsidRPr="00D73212">
        <w:rPr>
          <w:rtl/>
        </w:rPr>
        <w:t>---------------------------------</w:t>
      </w:r>
    </w:p>
    <w:p w14:paraId="218C029F" w14:textId="77777777" w:rsidR="008F6C9E" w:rsidRPr="00D73212" w:rsidRDefault="008F6C9E" w:rsidP="008F6C9E">
      <w:pPr>
        <w:pStyle w:val="Hesber"/>
        <w:spacing w:line="240" w:lineRule="auto"/>
        <w:rPr>
          <w:rtl/>
        </w:rPr>
      </w:pPr>
      <w:r w:rsidRPr="00D73212">
        <w:rPr>
          <w:rFonts w:hint="cs"/>
          <w:rtl/>
        </w:rPr>
        <w:t>הוגשה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ליו</w:t>
      </w:r>
      <w:r w:rsidRPr="00D73212">
        <w:rPr>
          <w:rtl/>
        </w:rPr>
        <w:t>"</w:t>
      </w:r>
      <w:r w:rsidRPr="00D73212">
        <w:rPr>
          <w:rFonts w:hint="cs"/>
          <w:rtl/>
        </w:rPr>
        <w:t>ר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הכנסת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והסגנים</w:t>
      </w:r>
    </w:p>
    <w:p w14:paraId="134D5459" w14:textId="77777777" w:rsidR="008F6C9E" w:rsidRPr="00D73212" w:rsidRDefault="008F6C9E" w:rsidP="008F6C9E">
      <w:pPr>
        <w:pStyle w:val="Hesber"/>
        <w:spacing w:line="240" w:lineRule="auto"/>
        <w:rPr>
          <w:rtl/>
        </w:rPr>
      </w:pPr>
      <w:r w:rsidRPr="00D73212">
        <w:rPr>
          <w:rFonts w:hint="cs"/>
          <w:rtl/>
        </w:rPr>
        <w:t>והונחה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על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שולחן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הכנסת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ביום</w:t>
      </w:r>
    </w:p>
    <w:p w14:paraId="7F6961CB" w14:textId="7A396E4F" w:rsidR="00E13C27" w:rsidRDefault="008F6C9E" w:rsidP="008F6C9E">
      <w:pPr>
        <w:pStyle w:val="Hesber"/>
        <w:spacing w:line="240" w:lineRule="auto"/>
        <w:rPr>
          <w:rtl/>
        </w:rPr>
      </w:pPr>
      <w:r>
        <w:rPr>
          <w:rFonts w:hint="cs"/>
          <w:rtl/>
        </w:rPr>
        <w:t xml:space="preserve"> ה' בתמוז</w:t>
      </w:r>
      <w:r w:rsidRPr="00D73212">
        <w:rPr>
          <w:rtl/>
        </w:rPr>
        <w:t xml:space="preserve"> </w:t>
      </w:r>
      <w:proofErr w:type="spellStart"/>
      <w:r w:rsidRPr="00D73212">
        <w:rPr>
          <w:rFonts w:hint="cs"/>
          <w:rtl/>
        </w:rPr>
        <w:t>התשע</w:t>
      </w:r>
      <w:r w:rsidRPr="00D73212">
        <w:rPr>
          <w:rtl/>
        </w:rPr>
        <w:t>"</w:t>
      </w:r>
      <w:r>
        <w:rPr>
          <w:rFonts w:hint="cs"/>
          <w:rtl/>
        </w:rPr>
        <w:t>ח</w:t>
      </w:r>
      <w:proofErr w:type="spellEnd"/>
      <w:r w:rsidRPr="00D73212">
        <w:rPr>
          <w:rtl/>
        </w:rPr>
        <w:t xml:space="preserve"> – </w:t>
      </w:r>
      <w:r>
        <w:rPr>
          <w:rFonts w:hint="cs"/>
          <w:rtl/>
        </w:rPr>
        <w:t>18.6</w:t>
      </w:r>
      <w:r w:rsidRPr="00D73212">
        <w:rPr>
          <w:rtl/>
        </w:rPr>
        <w:t>.</w:t>
      </w:r>
      <w:r>
        <w:rPr>
          <w:rFonts w:hint="cs"/>
          <w:rtl/>
        </w:rPr>
        <w:t>18</w:t>
      </w:r>
    </w:p>
    <w:sectPr w:rsidR="00E13C27" w:rsidSect="00755C4D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8F6C9E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A64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7C67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9A8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F06F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86640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567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6C2E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36B9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02A4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82B7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CD1B41"/>
    <w:multiLevelType w:val="hybridMultilevel"/>
    <w:tmpl w:val="64126ED2"/>
    <w:lvl w:ilvl="0" w:tplc="B0762280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4"/>
  </w:num>
  <w:num w:numId="16">
    <w:abstractNumId w:val="13"/>
  </w:num>
  <w:num w:numId="17">
    <w:abstractNumId w:val="13"/>
    <w:lvlOverride w:ilvl="0">
      <w:startOverride w:val="1"/>
    </w:lvlOverride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0109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C1242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55C4D"/>
    <w:rsid w:val="00763CAA"/>
    <w:rsid w:val="00764180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8F6C9E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0207"/>
    <w:rsid w:val="009E1E33"/>
    <w:rsid w:val="00A14672"/>
    <w:rsid w:val="00A26BD6"/>
    <w:rsid w:val="00A443CF"/>
    <w:rsid w:val="00A6611D"/>
    <w:rsid w:val="00A82CB7"/>
    <w:rsid w:val="00A91445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343F1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FD4E7D7D-F3BB-4C02-8FD3-E40986FE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C4D"/>
    <w:pPr>
      <w:widowControl w:val="0"/>
      <w:bidi/>
      <w:spacing w:after="160"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55C4D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755C4D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755C4D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755C4D"/>
    <w:pPr>
      <w:numPr>
        <w:numId w:val="17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55C4D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755C4D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755C4D"/>
    <w:rPr>
      <w:sz w:val="36"/>
      <w:szCs w:val="52"/>
    </w:rPr>
  </w:style>
  <w:style w:type="paragraph" w:customStyle="1" w:styleId="Cover3-Haknesset">
    <w:name w:val="Cover 3-Haknesset"/>
    <w:basedOn w:val="Cover1-Reshumot"/>
    <w:rsid w:val="00755C4D"/>
    <w:rPr>
      <w:b/>
      <w:bCs/>
      <w:spacing w:val="60"/>
    </w:rPr>
  </w:style>
  <w:style w:type="paragraph" w:customStyle="1" w:styleId="Cover4-Date">
    <w:name w:val="Cover 4-Date"/>
    <w:basedOn w:val="a"/>
    <w:rsid w:val="00755C4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755C4D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755C4D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755C4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755C4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755C4D"/>
    <w:pPr>
      <w:keepLines/>
      <w:tabs>
        <w:tab w:val="left" w:pos="624"/>
        <w:tab w:val="left" w:pos="1247"/>
      </w:tabs>
      <w:snapToGrid w:val="0"/>
      <w:spacing w:after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755C4D"/>
    <w:pPr>
      <w:outlineLvl w:val="2"/>
    </w:pPr>
  </w:style>
  <w:style w:type="paragraph" w:customStyle="1" w:styleId="TableBlock">
    <w:name w:val="Table Block"/>
    <w:basedOn w:val="TableText"/>
    <w:rsid w:val="00755C4D"/>
    <w:pPr>
      <w:jc w:val="both"/>
    </w:pPr>
  </w:style>
  <w:style w:type="paragraph" w:customStyle="1" w:styleId="TableHead">
    <w:name w:val="Table Head"/>
    <w:basedOn w:val="TableText"/>
    <w:rsid w:val="00755C4D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755C4D"/>
    <w:pPr>
      <w:outlineLvl w:val="9"/>
    </w:pPr>
  </w:style>
  <w:style w:type="paragraph" w:customStyle="1" w:styleId="Hesber">
    <w:name w:val="Hesber"/>
    <w:basedOn w:val="a"/>
    <w:rsid w:val="00755C4D"/>
    <w:pPr>
      <w:snapToGrid w:val="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autoRedefine/>
    <w:semiHidden/>
    <w:rsid w:val="00755C4D"/>
    <w:pPr>
      <w:snapToGrid w:val="0"/>
      <w:spacing w:line="240" w:lineRule="auto"/>
      <w:ind w:left="227" w:hanging="227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755C4D"/>
    <w:rPr>
      <w:vertAlign w:val="superscript"/>
    </w:rPr>
  </w:style>
  <w:style w:type="paragraph" w:customStyle="1" w:styleId="HesberHeading">
    <w:name w:val="Hesber Heading"/>
    <w:basedOn w:val="Hesber"/>
    <w:rsid w:val="00755C4D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755C4D"/>
    <w:pPr>
      <w:spacing w:before="120" w:after="600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755C4D"/>
    <w:pPr>
      <w:tabs>
        <w:tab w:val="left" w:pos="680"/>
        <w:tab w:val="left" w:pos="1020"/>
      </w:tabs>
      <w:ind w:left="0"/>
    </w:pPr>
  </w:style>
  <w:style w:type="character" w:styleId="a6">
    <w:name w:val="endnote reference"/>
    <w:basedOn w:val="a0"/>
    <w:semiHidden/>
    <w:rsid w:val="00755C4D"/>
    <w:rPr>
      <w:vertAlign w:val="superscript"/>
    </w:rPr>
  </w:style>
  <w:style w:type="paragraph" w:customStyle="1" w:styleId="TableBlockOutdent">
    <w:name w:val="Table BlockOutdent"/>
    <w:basedOn w:val="TableBlock"/>
    <w:rsid w:val="00755C4D"/>
    <w:pPr>
      <w:ind w:left="624" w:hanging="624"/>
    </w:pPr>
  </w:style>
  <w:style w:type="paragraph" w:styleId="a7">
    <w:name w:val="header"/>
    <w:basedOn w:val="a"/>
    <w:rsid w:val="00755C4D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755C4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755C4D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755C4D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a">
    <w:name w:val="page number"/>
    <w:basedOn w:val="a0"/>
    <w:rsid w:val="00755C4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10">
    <w:name w:val="כותרת 1 תו"/>
    <w:basedOn w:val="a0"/>
    <w:link w:val="1"/>
    <w:uiPriority w:val="9"/>
    <w:rsid w:val="00755C4D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755C4D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755C4D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755C4D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755C4D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755C4D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755C4D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755C4D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755C4D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755C4D"/>
    <w:pPr>
      <w:tabs>
        <w:tab w:val="right" w:leader="dot" w:pos="9629"/>
      </w:tabs>
      <w:spacing w:after="100"/>
      <w:ind w:left="56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755C4D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755C4D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755C4D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755C4D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755C4D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755C4D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755C4D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755C4D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755C4D"/>
    <w:rPr>
      <w:rFonts w:eastAsia="Times New Roman"/>
    </w:rPr>
  </w:style>
  <w:style w:type="paragraph" w:styleId="ae">
    <w:name w:val="List Paragraph"/>
    <w:basedOn w:val="a"/>
    <w:uiPriority w:val="34"/>
    <w:qFormat/>
    <w:rsid w:val="00755C4D"/>
    <w:pPr>
      <w:widowControl/>
      <w:spacing w:line="259" w:lineRule="auto"/>
    </w:pPr>
    <w:rPr>
      <w:rFonts w:asciiTheme="minorHAnsi" w:hAnsiTheme="minorHAnsi"/>
      <w:sz w:val="22"/>
    </w:rPr>
  </w:style>
  <w:style w:type="table" w:styleId="af">
    <w:name w:val="Table Grid"/>
    <w:basedOn w:val="a1"/>
    <w:rsid w:val="00755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755C4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755C4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0">
    <w:name w:val="טבלת חקיקה"/>
    <w:basedOn w:val="a1"/>
    <w:uiPriority w:val="99"/>
    <w:rsid w:val="00755C4D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755C4D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582EE-9D51-4D03-BE7B-945CC8D63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0FC0DCB-BD81-42B8-9E2A-3C777B66B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284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10</cp:revision>
  <cp:lastPrinted>2018-06-13T08:31:00Z</cp:lastPrinted>
  <dcterms:created xsi:type="dcterms:W3CDTF">2015-04-20T09:58:00Z</dcterms:created>
  <dcterms:modified xsi:type="dcterms:W3CDTF">2018-06-13T08:32:00Z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2071184</vt:r8>
  </property>
</Properties>
</file>