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2064323</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אלי אלאלוף</w:t>
      </w:r>
      <w:r>
        <w:br/>
      </w:r>
      <w:r>
        <w:rPr>
          <w:rFonts w:hint="cs"/>
          <w:b/>
          <w:bCs/>
          <w:rtl/>
        </w:rPr>
        <w:t xml:space="preserve"> </w:t>
      </w:r>
      <w:r>
        <w:tab/>
      </w:r>
      <w:r>
        <w:tab/>
      </w:r>
      <w:r>
        <w:tab/>
      </w:r>
      <w:r>
        <w:tab/>
      </w:r>
      <w:r>
        <w:rPr>
          <w:rFonts w:hint="cs"/>
          <w:b/>
          <w:bCs/>
          <w:rtl/>
        </w:rPr>
        <w:t>מרב מיכאלי</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פ/5050/20</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2E747532" w:rsidR="00E13C27" w:rsidRPr="00F67051" w:rsidRDefault="00A443CF" w:rsidP="001E6D0E">
      <w:pPr>
        <w:pStyle w:val="HeadHatzaotHok"/>
        <w:rPr>
          <w:rtl/>
        </w:rPr>
      </w:pPr>
      <w:bookmarkStart w:id="7" w:name="LGS_Subject"/>
      <w:r>
        <w:rPr>
          <w:rFonts w:hint="cs"/>
          <w:rtl/>
        </w:rPr>
        <w:t xml:space="preserve">הצעת חוק לחלוקת חיסכון פנסיוני בין בני זוג שנפרדו (תיקון </w:t>
      </w:r>
      <w:r w:rsidR="001E6D0E">
        <w:rPr>
          <w:rFonts w:hint="eastAsia"/>
          <w:rtl/>
        </w:rPr>
        <w:t>–</w:t>
      </w:r>
      <w:r>
        <w:rPr>
          <w:rFonts w:hint="cs"/>
          <w:rtl/>
        </w:rPr>
        <w:t xml:space="preserve"> הארכת התקופה להגשת בקשה לרישום פסק דין שניתן לפני יום התחילה), התשע"ח</w:t>
      </w:r>
      <w:r w:rsidR="001E6D0E">
        <w:rPr>
          <w:rFonts w:hint="eastAsia"/>
          <w:rtl/>
        </w:rPr>
        <w:t>–</w:t>
      </w:r>
      <w:r>
        <w:rPr>
          <w:rFonts w:hint="cs"/>
          <w:rtl/>
        </w:rPr>
        <w:t>2018</w:t>
      </w:r>
      <w:bookmarkEnd w:id="7"/>
    </w:p>
    <w:p w14:paraId="7F6961AE" w14:textId="77777777" w:rsidR="00E13C27" w:rsidRDefault="00E13C27" w:rsidP="0021633A">
      <w:pPr>
        <w:pStyle w:val="HeadDivreiHesber"/>
        <w:spacing w:before="0" w:after="0"/>
        <w:rPr>
          <w:rtl/>
        </w:rPr>
      </w:pP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7146"/>
      </w:tblGrid>
      <w:tr w:rsidR="002F1D80" w14:paraId="035EEF3D" w14:textId="77777777" w:rsidTr="002C3041">
        <w:trPr>
          <w:cantSplit/>
          <w:trHeight w:val="60"/>
        </w:trPr>
        <w:tc>
          <w:tcPr>
            <w:tcW w:w="1871" w:type="dxa"/>
          </w:tcPr>
          <w:p w14:paraId="3863FF98" w14:textId="3061427C" w:rsidR="002F1D80" w:rsidRDefault="00A83D44" w:rsidP="002C3041">
            <w:pPr>
              <w:pStyle w:val="TableSideHeading"/>
              <w:keepLines w:val="0"/>
            </w:pPr>
            <w:r>
              <w:rPr>
                <w:rFonts w:hint="cs"/>
                <w:rtl/>
              </w:rPr>
              <w:t>תיקון סעיף 30</w:t>
            </w:r>
          </w:p>
        </w:tc>
        <w:tc>
          <w:tcPr>
            <w:tcW w:w="624" w:type="dxa"/>
          </w:tcPr>
          <w:p w14:paraId="6F513EF6" w14:textId="70925B12" w:rsidR="002F1D80" w:rsidRDefault="00A83D44" w:rsidP="002C3041">
            <w:pPr>
              <w:pStyle w:val="TableText"/>
              <w:keepLines w:val="0"/>
            </w:pPr>
            <w:r>
              <w:rPr>
                <w:rFonts w:hint="cs"/>
                <w:rtl/>
              </w:rPr>
              <w:t>1.</w:t>
            </w:r>
          </w:p>
        </w:tc>
        <w:tc>
          <w:tcPr>
            <w:tcW w:w="7146" w:type="dxa"/>
          </w:tcPr>
          <w:p w14:paraId="1AE94DEB" w14:textId="32355513" w:rsidR="002F1D80" w:rsidRPr="00A83D44" w:rsidRDefault="00A83D44" w:rsidP="00EF534D">
            <w:pPr>
              <w:pStyle w:val="TableHead"/>
              <w:keepLines w:val="0"/>
              <w:jc w:val="both"/>
              <w:rPr>
                <w:b w:val="0"/>
                <w:bCs w:val="0"/>
              </w:rPr>
            </w:pPr>
            <w:r>
              <w:rPr>
                <w:rFonts w:hint="cs"/>
                <w:b w:val="0"/>
                <w:bCs w:val="0"/>
                <w:rtl/>
              </w:rPr>
              <w:t>בחוק לחלוקת ח</w:t>
            </w:r>
            <w:r w:rsidRPr="00A83D44">
              <w:rPr>
                <w:rFonts w:hint="cs"/>
                <w:b w:val="0"/>
                <w:bCs w:val="0"/>
                <w:rtl/>
              </w:rPr>
              <w:t>יסכון פנסיוני בין בני זוג שנפרדו, התשע"ד</w:t>
            </w:r>
            <w:r w:rsidR="00EF534D">
              <w:rPr>
                <w:rFonts w:hint="eastAsia"/>
                <w:b w:val="0"/>
                <w:bCs w:val="0"/>
                <w:rtl/>
              </w:rPr>
              <w:t>–</w:t>
            </w:r>
            <w:r w:rsidRPr="00A83D44">
              <w:rPr>
                <w:rFonts w:hint="cs"/>
                <w:b w:val="0"/>
                <w:bCs w:val="0"/>
                <w:rtl/>
              </w:rPr>
              <w:t>2014</w:t>
            </w:r>
            <w:r w:rsidRPr="00A83D44">
              <w:rPr>
                <w:b w:val="0"/>
                <w:bCs w:val="0"/>
                <w:vertAlign w:val="superscript"/>
                <w:rtl/>
              </w:rPr>
              <w:footnoteReference w:id="2"/>
            </w:r>
            <w:r w:rsidRPr="00A83D44">
              <w:rPr>
                <w:b w:val="0"/>
                <w:bCs w:val="0"/>
                <w:rtl/>
              </w:rPr>
              <w:t>, בסעיף 30(ב)(2)(ד), במקום "בתוך שלוש שנים מיום התחילה" יבוא "בתוך ארבע שנים מיום התחילה"</w:t>
            </w:r>
            <w:r w:rsidRPr="00A83D44">
              <w:rPr>
                <w:rFonts w:hint="cs"/>
                <w:b w:val="0"/>
                <w:bCs w:val="0"/>
                <w:rtl/>
              </w:rPr>
              <w:t>.</w:t>
            </w:r>
          </w:p>
        </w:tc>
      </w:tr>
    </w:tbl>
    <w:p w14:paraId="7F6961CA" w14:textId="77777777" w:rsidR="002D1EE3" w:rsidRDefault="002D1EE3" w:rsidP="002D1EE3">
      <w:pPr>
        <w:pStyle w:val="HeadDivreiHesber"/>
        <w:rPr>
          <w:rtl/>
        </w:rPr>
      </w:pPr>
      <w:r w:rsidRPr="0027450A">
        <w:rPr>
          <w:rFonts w:hint="cs"/>
          <w:rtl/>
        </w:rPr>
        <w:t>דברי הסבר</w:t>
      </w:r>
    </w:p>
    <w:p w14:paraId="4BDEEEFD" w14:textId="3F510A0F" w:rsidR="00A83D44" w:rsidRPr="00710F9D" w:rsidRDefault="00A83D44" w:rsidP="00A83D44">
      <w:pPr>
        <w:pStyle w:val="Hesber"/>
        <w:rPr>
          <w:rFonts w:cs="David (Hebrew)"/>
          <w:rtl/>
        </w:rPr>
      </w:pPr>
      <w:r w:rsidRPr="00710F9D">
        <w:rPr>
          <w:rFonts w:cs="David (Hebrew)"/>
          <w:rtl/>
        </w:rPr>
        <w:t>סעיף 30 לחוק לחלוקת חיסכון פנסיוני בין בני זוג שנפרדו, התשע"ד–2014 (להלן – החוק), מאפשר להחיל את הוראות החוק גם לגבי פסק דין לחלוקת חיסכון פנסיוני שניתן לפני יום</w:t>
      </w:r>
      <w:r w:rsidR="00EF534D">
        <w:rPr>
          <w:rFonts w:cs="David (Hebrew)"/>
          <w:rtl/>
        </w:rPr>
        <w:t xml:space="preserve"> תחילתו של החוק (פברואר 2015). </w:t>
      </w:r>
      <w:r w:rsidRPr="00710F9D">
        <w:rPr>
          <w:rFonts w:cs="David (Hebrew)"/>
          <w:rtl/>
        </w:rPr>
        <w:t>ואולם</w:t>
      </w:r>
      <w:r w:rsidR="00EF534D">
        <w:rPr>
          <w:rFonts w:cs="David (Hebrew)" w:hint="cs"/>
          <w:rtl/>
        </w:rPr>
        <w:t>,</w:t>
      </w:r>
      <w:r w:rsidRPr="00710F9D">
        <w:rPr>
          <w:rFonts w:cs="David (Hebrew)"/>
          <w:rtl/>
        </w:rPr>
        <w:t xml:space="preserve"> החוק מתנה את החלת ההוראות המאפשרות לבן הזוג לשעבר להיות זכאי לקצבת שאירים בהסדר פנסיה של צבירת זכויות במספר תנאים מצטברים. בין השאר, דורש החוק כי אם חלפו שנתיים מהמועד שבו ניתן פסק הדין לחלוקת חיסכון פנסיוני או מהמועד שבו החלה הזכאות של בעל הפנסיה לגמלה, לפי המאוחר, תוגש הבקשה לרישום פסק הדין</w:t>
      </w:r>
      <w:r w:rsidRPr="008701A7">
        <w:rPr>
          <w:rFonts w:cs="David (Hebrew)"/>
          <w:rtl/>
        </w:rPr>
        <w:t> </w:t>
      </w:r>
      <w:r w:rsidRPr="00710F9D">
        <w:rPr>
          <w:rFonts w:cs="David (Hebrew)"/>
          <w:rtl/>
        </w:rPr>
        <w:t>בתוך זמן מוגבל ממועד תחילתו של החוק. התקופה המקורית שנקבעה בחוק אפשרה פרק זמן של שנה בלבד, ואילו בתיקון מס' 1 הוארכה התקופה בשנתיים נוספות, וזאת כדי לאפשר שימוש בהוראות המעבר. מטרתן של</w:t>
      </w:r>
      <w:r w:rsidRPr="008701A7">
        <w:rPr>
          <w:rFonts w:cs="David (Hebrew)"/>
          <w:rtl/>
        </w:rPr>
        <w:t> </w:t>
      </w:r>
      <w:r w:rsidRPr="00710F9D">
        <w:rPr>
          <w:rFonts w:cs="David (Hebrew)"/>
          <w:rtl/>
        </w:rPr>
        <w:t>הוראות אלה לתת מענה לבני זוג לשעבר, אשר נפרדו לפני תחילת החוק והסתמכו על גמלת הפרישה של העמית הרשום למחייתם,</w:t>
      </w:r>
      <w:r w:rsidRPr="008701A7">
        <w:rPr>
          <w:rFonts w:cs="David (Hebrew)"/>
          <w:rtl/>
        </w:rPr>
        <w:t> </w:t>
      </w:r>
      <w:r w:rsidRPr="00710F9D">
        <w:rPr>
          <w:rFonts w:cs="David (Hebrew)"/>
          <w:rtl/>
        </w:rPr>
        <w:t>לבל ימצאו עצמם, עם מותו,</w:t>
      </w:r>
      <w:r w:rsidRPr="008701A7">
        <w:rPr>
          <w:rFonts w:cs="David (Hebrew)"/>
          <w:rtl/>
        </w:rPr>
        <w:t> </w:t>
      </w:r>
      <w:r w:rsidRPr="00710F9D">
        <w:rPr>
          <w:rFonts w:cs="David (Hebrew)"/>
          <w:rtl/>
        </w:rPr>
        <w:t>ללא כל מקור הכנסה.</w:t>
      </w:r>
    </w:p>
    <w:p w14:paraId="428337F3" w14:textId="2899EF20" w:rsidR="00A83D44" w:rsidRPr="00710F9D" w:rsidRDefault="00A83D44" w:rsidP="00A83D44">
      <w:pPr>
        <w:pStyle w:val="Hesber"/>
        <w:rPr>
          <w:rFonts w:cs="David (Hebrew)"/>
          <w:rtl/>
        </w:rPr>
      </w:pPr>
      <w:r w:rsidRPr="00710F9D">
        <w:rPr>
          <w:rFonts w:cs="David (Hebrew)"/>
          <w:rtl/>
        </w:rPr>
        <w:t xml:space="preserve">בינתיים התברר כי למרות הזמן </w:t>
      </w:r>
      <w:r>
        <w:rPr>
          <w:rFonts w:cs="David (Hebrew)"/>
          <w:rtl/>
        </w:rPr>
        <w:t>שחלף</w:t>
      </w:r>
      <w:r w:rsidRPr="00710F9D">
        <w:rPr>
          <w:rFonts w:cs="David (Hebrew)"/>
          <w:rtl/>
        </w:rPr>
        <w:t xml:space="preserve"> ממועד תחילתו של החוק, הרי שעד עתה טרם הותקנו תקנות לעניין הדרכים להגשת בקשה לרישום פסק דין לחלוקת ח</w:t>
      </w:r>
      <w:r w:rsidR="00EF534D">
        <w:rPr>
          <w:rFonts w:cs="David (Hebrew)" w:hint="cs"/>
          <w:rtl/>
        </w:rPr>
        <w:t>י</w:t>
      </w:r>
      <w:r w:rsidRPr="00710F9D">
        <w:rPr>
          <w:rFonts w:cs="David (Hebrew)"/>
          <w:rtl/>
        </w:rPr>
        <w:t>סכון פנסיוני במ</w:t>
      </w:r>
      <w:r w:rsidR="00EF534D">
        <w:rPr>
          <w:rFonts w:cs="David (Hebrew)" w:hint="cs"/>
          <w:rtl/>
        </w:rPr>
        <w:t>י</w:t>
      </w:r>
      <w:r w:rsidRPr="00710F9D">
        <w:rPr>
          <w:rFonts w:cs="David (Hebrew)"/>
          <w:rtl/>
        </w:rPr>
        <w:t>נהלת הגמלאות של שירות המדינה ובצה"ל. דווקא גורמים אלה שאליהם נוגעת האפשרות לזכות בקצבת השאירים, טרם הטמיעו את החוק, וטרם הנהיגו מערכת סדירה של רישום בקשות. כמו כן התברר כי למרות הבטחות בעניין זה</w:t>
      </w:r>
      <w:r>
        <w:rPr>
          <w:rFonts w:cs="David (Hebrew)"/>
          <w:rtl/>
        </w:rPr>
        <w:t>,</w:t>
      </w:r>
      <w:r w:rsidRPr="00710F9D">
        <w:rPr>
          <w:rFonts w:cs="David (Hebrew)"/>
          <w:rtl/>
        </w:rPr>
        <w:t xml:space="preserve"> לא הובאה לידיעת הציבור האפשרות לפנות ולהגיש בקשה לרישום לגבי פסקי דין ישנים שקדמו למועד</w:t>
      </w:r>
      <w:r>
        <w:rPr>
          <w:rFonts w:cs="David (Hebrew)"/>
          <w:rtl/>
        </w:rPr>
        <w:t>.</w:t>
      </w:r>
    </w:p>
    <w:p w14:paraId="7F6961CB" w14:textId="19D34366" w:rsidR="00E13C27" w:rsidRDefault="00A83D44" w:rsidP="00A83D44">
      <w:pPr>
        <w:pStyle w:val="Hesber"/>
        <w:rPr>
          <w:rtl/>
        </w:rPr>
      </w:pPr>
      <w:r w:rsidRPr="00710F9D">
        <w:rPr>
          <w:rFonts w:cs="David (Hebrew)"/>
          <w:rtl/>
        </w:rPr>
        <w:t xml:space="preserve">לפיכך מוצע שלא לחסום את דרכו של בן זוג לשעבר, שמתקיימים בו יתר התנאים לפי סעיף 30 לחוק, </w:t>
      </w:r>
      <w:r w:rsidRPr="00710F9D">
        <w:rPr>
          <w:rFonts w:cs="David (Hebrew)"/>
          <w:rtl/>
        </w:rPr>
        <w:lastRenderedPageBreak/>
        <w:t>ליהנות מהזכות לקצבת שאירים בהסדר של צבירת זכויות, לאחר מות הגמלאי, רק בשל איחור במועד הגשת הבקשה לרישום</w:t>
      </w:r>
      <w:r w:rsidRPr="008701A7">
        <w:rPr>
          <w:rFonts w:cs="David (Hebrew)"/>
          <w:rtl/>
        </w:rPr>
        <w:t> </w:t>
      </w:r>
      <w:r w:rsidRPr="00710F9D">
        <w:rPr>
          <w:rFonts w:cs="David (Hebrew)"/>
          <w:rtl/>
        </w:rPr>
        <w:t>פסק הדין,</w:t>
      </w:r>
      <w:r w:rsidRPr="008701A7">
        <w:rPr>
          <w:rFonts w:cs="David (Hebrew)"/>
          <w:rtl/>
        </w:rPr>
        <w:t> </w:t>
      </w:r>
      <w:r w:rsidRPr="00710F9D">
        <w:rPr>
          <w:rFonts w:cs="David (Hebrew)"/>
          <w:rtl/>
        </w:rPr>
        <w:t>ובפרט כאשר המערכת עצמה טרם השלימה את היערכותה לרישום פסקי הדין ועדיין לא הסדירה אפילו את ההוראות בדבר מסירת בקשה לרישום וההודעות לגביה.</w:t>
      </w:r>
      <w:r w:rsidRPr="008701A7">
        <w:rPr>
          <w:rFonts w:cs="David (Hebrew)"/>
          <w:rtl/>
        </w:rPr>
        <w:t> </w:t>
      </w:r>
      <w:r w:rsidRPr="00710F9D">
        <w:rPr>
          <w:rFonts w:cs="David (Hebrew)"/>
          <w:rtl/>
        </w:rPr>
        <w:t>לכן</w:t>
      </w:r>
      <w:r w:rsidRPr="008701A7">
        <w:rPr>
          <w:rFonts w:cs="David (Hebrew)"/>
          <w:rtl/>
        </w:rPr>
        <w:t> </w:t>
      </w:r>
      <w:r w:rsidRPr="00710F9D">
        <w:rPr>
          <w:rFonts w:cs="David (Hebrew)"/>
          <w:rtl/>
        </w:rPr>
        <w:t>מוצע להאריך</w:t>
      </w:r>
      <w:r w:rsidRPr="008701A7">
        <w:rPr>
          <w:rFonts w:cs="David (Hebrew)"/>
          <w:rtl/>
        </w:rPr>
        <w:t> </w:t>
      </w:r>
      <w:r w:rsidRPr="00710F9D">
        <w:rPr>
          <w:rFonts w:cs="David (Hebrew)"/>
          <w:rtl/>
        </w:rPr>
        <w:t>בשנה אחת נוספת</w:t>
      </w:r>
      <w:r w:rsidRPr="008701A7">
        <w:rPr>
          <w:rFonts w:cs="David (Hebrew)"/>
          <w:rtl/>
        </w:rPr>
        <w:t> </w:t>
      </w:r>
      <w:r w:rsidRPr="00710F9D">
        <w:rPr>
          <w:rFonts w:cs="David (Hebrew)"/>
          <w:rtl/>
        </w:rPr>
        <w:t>את התקופה לרישום פסק דין לחלוקת חיסכון פנסיוני שניתן לפני יום התחילה, עד לארבע שנים מיום התחילה</w:t>
      </w:r>
      <w:r>
        <w:rPr>
          <w:rFonts w:hint="cs"/>
          <w:rtl/>
        </w:rPr>
        <w:t>.</w:t>
      </w:r>
    </w:p>
    <w:p w14:paraId="1429042C" w14:textId="301B179E" w:rsidR="00F346AB" w:rsidRDefault="00F346AB" w:rsidP="00F346AB">
      <w:pPr>
        <w:pStyle w:val="Hesber"/>
        <w:rPr>
          <w:rFonts w:cs="David (Hebrew)"/>
          <w:rtl/>
        </w:rPr>
      </w:pPr>
      <w:r>
        <w:rPr>
          <w:rFonts w:hint="cs"/>
          <w:rtl/>
        </w:rPr>
        <w:t xml:space="preserve">הצעות חוק זהות הונחו על שולחן הכנסת </w:t>
      </w:r>
      <w:r>
        <w:rPr>
          <w:rFonts w:cs="David (Hebrew)" w:hint="cs"/>
          <w:rtl/>
        </w:rPr>
        <w:t>העשרים על ידי חברות הכנסת זהבה גלאון ומרב מיכאלי (פ/4464/20) ועל ידי חברת הכנסת מיכל רוזין (פ/4962/20).</w:t>
      </w:r>
    </w:p>
    <w:p w14:paraId="207DAFC9" w14:textId="2C640538" w:rsidR="00F346AB" w:rsidRDefault="00F346AB" w:rsidP="00A83D44">
      <w:pPr>
        <w:pStyle w:val="Hesber"/>
        <w:rPr>
          <w:rtl/>
        </w:rPr>
      </w:pPr>
    </w:p>
    <w:p w14:paraId="21595385" w14:textId="28E05CCD" w:rsidR="00EF534D" w:rsidRDefault="00EF534D" w:rsidP="00A83D44">
      <w:pPr>
        <w:pStyle w:val="Hesber"/>
        <w:rPr>
          <w:rtl/>
        </w:rPr>
      </w:pPr>
    </w:p>
    <w:p w14:paraId="4CBE49D6" w14:textId="77777777" w:rsidR="00EF534D" w:rsidRPr="00D73212" w:rsidRDefault="00EF534D" w:rsidP="00EF534D">
      <w:pPr>
        <w:pStyle w:val="Hesber"/>
        <w:rPr>
          <w:color w:val="auto"/>
          <w:rtl/>
          <w:lang w:eastAsia="en-US"/>
        </w:rPr>
      </w:pPr>
      <w:r w:rsidRPr="00D73212">
        <w:rPr>
          <w:color w:val="auto"/>
          <w:rtl/>
          <w:lang w:eastAsia="en-US"/>
        </w:rPr>
        <w:t>---------------------------------</w:t>
      </w:r>
    </w:p>
    <w:p w14:paraId="3B236B0A" w14:textId="77777777" w:rsidR="00EF534D" w:rsidRPr="00D73212" w:rsidRDefault="00EF534D" w:rsidP="00EF534D">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58CE1F5F" w14:textId="77777777" w:rsidR="00EF534D" w:rsidRPr="00D73212" w:rsidRDefault="00EF534D" w:rsidP="00EF534D">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769656F3" w14:textId="77777777" w:rsidR="00EF534D" w:rsidRPr="00317312" w:rsidRDefault="00EF534D" w:rsidP="00EF534D">
      <w:pPr>
        <w:pStyle w:val="Hesber"/>
      </w:pPr>
      <w:r>
        <w:rPr>
          <w:rFonts w:hint="cs"/>
          <w:color w:val="auto"/>
          <w:rtl/>
          <w:lang w:eastAsia="en-US"/>
        </w:rPr>
        <w:t>י"ג בשבט</w:t>
      </w:r>
      <w:r w:rsidRPr="00D73212">
        <w:rPr>
          <w:color w:val="auto"/>
          <w:rtl/>
          <w:lang w:eastAsia="en-US"/>
        </w:rPr>
        <w:t xml:space="preserve"> </w:t>
      </w:r>
      <w:r w:rsidRPr="00D73212">
        <w:rPr>
          <w:rFonts w:hint="cs"/>
          <w:color w:val="auto"/>
          <w:rtl/>
          <w:lang w:eastAsia="en-US"/>
        </w:rPr>
        <w:t>התשע</w:t>
      </w:r>
      <w:r w:rsidRPr="00D73212">
        <w:rPr>
          <w:color w:val="auto"/>
          <w:rtl/>
          <w:lang w:eastAsia="en-US"/>
        </w:rPr>
        <w:t>"</w:t>
      </w:r>
      <w:r>
        <w:rPr>
          <w:rFonts w:hint="cs"/>
          <w:color w:val="auto"/>
          <w:rtl/>
          <w:lang w:eastAsia="en-US"/>
        </w:rPr>
        <w:t>ח</w:t>
      </w:r>
      <w:r w:rsidRPr="00D73212">
        <w:rPr>
          <w:color w:val="auto"/>
          <w:rtl/>
          <w:lang w:eastAsia="en-US"/>
        </w:rPr>
        <w:t xml:space="preserve"> – </w:t>
      </w:r>
      <w:r>
        <w:rPr>
          <w:rFonts w:hint="cs"/>
          <w:color w:val="auto"/>
          <w:rtl/>
          <w:lang w:eastAsia="en-US"/>
        </w:rPr>
        <w:t>29.1.18</w:t>
      </w:r>
    </w:p>
    <w:p w14:paraId="5702FE3D" w14:textId="77777777" w:rsidR="00EF534D" w:rsidRDefault="00EF534D" w:rsidP="00A83D44">
      <w:pPr>
        <w:pStyle w:val="Hesber"/>
        <w:rPr>
          <w:rtl/>
        </w:rPr>
      </w:pPr>
      <w:bookmarkStart w:id="8" w:name="_GoBack"/>
      <w:bookmarkEnd w:id="8"/>
    </w:p>
    <w:sectPr w:rsidR="00EF534D"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88A69" w14:textId="77777777" w:rsidR="00A942C1" w:rsidRDefault="00A942C1">
      <w:r>
        <w:separator/>
      </w:r>
    </w:p>
  </w:endnote>
  <w:endnote w:type="continuationSeparator" w:id="0">
    <w:p w14:paraId="318F26FB" w14:textId="77777777" w:rsidR="00A942C1" w:rsidRDefault="00A942C1">
      <w:r>
        <w:continuationSeparator/>
      </w:r>
    </w:p>
  </w:endnote>
  <w:endnote w:type="continuationNotice" w:id="1">
    <w:p w14:paraId="6BE48FD5" w14:textId="77777777" w:rsidR="00A942C1" w:rsidRDefault="00A942C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David (Hebrew)">
    <w:altName w:val="David"/>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EF534D">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7B9F2" w14:textId="77777777" w:rsidR="00A942C1" w:rsidRDefault="00A942C1">
      <w:r>
        <w:separator/>
      </w:r>
    </w:p>
  </w:footnote>
  <w:footnote w:type="continuationSeparator" w:id="0">
    <w:p w14:paraId="3DB92342" w14:textId="77777777" w:rsidR="00A942C1" w:rsidRDefault="00A942C1">
      <w:r>
        <w:continuationSeparator/>
      </w:r>
    </w:p>
  </w:footnote>
  <w:footnote w:type="continuationNotice" w:id="1">
    <w:p w14:paraId="16009878" w14:textId="77777777" w:rsidR="00A942C1" w:rsidRDefault="00A942C1"/>
  </w:footnote>
  <w:footnote w:id="2">
    <w:p w14:paraId="6DB9D86E" w14:textId="77777777" w:rsidR="00A83D44" w:rsidRDefault="00A83D44" w:rsidP="00A83D44">
      <w:pPr>
        <w:pStyle w:val="a4"/>
      </w:pPr>
      <w:r>
        <w:rPr>
          <w:rStyle w:val="a6"/>
        </w:rPr>
        <w:footnoteRef/>
      </w:r>
      <w:r>
        <w:rPr>
          <w:rFonts w:cs="David (Hebrew)"/>
          <w:rtl/>
        </w:rPr>
        <w:t xml:space="preserve"> ס"ה התשע"ד, עמ' 686.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1E6D0E"/>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83D44"/>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7774"/>
    <w:rsid w:val="00D63620"/>
    <w:rsid w:val="00D8410D"/>
    <w:rsid w:val="00D867D7"/>
    <w:rsid w:val="00DB7060"/>
    <w:rsid w:val="00DE3153"/>
    <w:rsid w:val="00E06736"/>
    <w:rsid w:val="00E13C27"/>
    <w:rsid w:val="00E33BBD"/>
    <w:rsid w:val="00E374F2"/>
    <w:rsid w:val="00E45103"/>
    <w:rsid w:val="00E55A60"/>
    <w:rsid w:val="00E62778"/>
    <w:rsid w:val="00E63D38"/>
    <w:rsid w:val="00E665B9"/>
    <w:rsid w:val="00EA01E6"/>
    <w:rsid w:val="00EA3DE8"/>
    <w:rsid w:val="00EA758F"/>
    <w:rsid w:val="00ED4A6F"/>
    <w:rsid w:val="00EF3A3A"/>
    <w:rsid w:val="00EF534D"/>
    <w:rsid w:val="00F346AB"/>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E7CC2A52-7C30-40EF-A06A-B08F5CE6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uiPriority w:val="99"/>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uiPriority w:val="99"/>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uiPriority w:val="99"/>
    <w:semiHidden/>
    <w:locked/>
    <w:rsid w:val="00A83D44"/>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FA584-210E-4A9B-AE6A-EDB619C6C9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C48CA613-4736-4769-AA5B-8703671C1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417</Words>
  <Characters>2090</Characters>
  <Application>Microsoft Office Word</Application>
  <DocSecurity>0</DocSecurity>
  <Lines>17</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חנה קרליץ</cp:lastModifiedBy>
  <cp:revision>6</cp:revision>
  <cp:lastPrinted>2018-01-24T09:54:00Z</cp:lastPrinted>
  <dcterms:created xsi:type="dcterms:W3CDTF">2015-04-20T09:58:00Z</dcterms:created>
  <dcterms:modified xsi:type="dcterms:W3CDTF">2018-01-24T09:55:00Z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2064323</vt:r8>
  </property>
</Properties>
</file>