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2019903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טלב אבו עראר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סעיד אלחרומי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 אל חכים חאג' יחיא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מסעוד גנאים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מוסי רז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ג'מעה אזברגה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קארין אלהרר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עיסאווי פריג'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יחיאל חיליק בר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קסניה סבטלובה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עטאונה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55D7C085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FC41D6">
        <w:tab/>
      </w:r>
      <w:r w:rsidR="00FC41D6">
        <w:tab/>
      </w:r>
      <w:r w:rsidR="00FC41D6">
        <w:tab/>
      </w:r>
      <w:r w:rsidR="00FC41D6">
        <w:tab/>
      </w:r>
      <w:r w:rsidR="00FC41D6">
        <w:tab/>
      </w:r>
      <w:r w:rsidR="00FC41D6">
        <w:rPr>
          <w:rFonts w:hint="cs"/>
          <w:rtl/>
        </w:rPr>
        <w:t>פ/5003/20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D" w14:textId="4DFB8461" w:rsidR="00E13C27" w:rsidRPr="00F67051" w:rsidRDefault="00A443CF" w:rsidP="00FC41D6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 xml:space="preserve">הצעת חוק הבוררות (תיקון </w:t>
      </w:r>
      <w:r w:rsidR="00FC41D6">
        <w:rPr>
          <w:rFonts w:hint="eastAsia"/>
          <w:rtl/>
        </w:rPr>
        <w:t>–</w:t>
      </w:r>
      <w:r>
        <w:rPr>
          <w:rFonts w:hint="cs"/>
          <w:rtl/>
        </w:rPr>
        <w:t xml:space="preserve"> בית המשפט המוסמך), התשע"ח</w:t>
      </w:r>
      <w:r w:rsidR="00FC41D6">
        <w:rPr>
          <w:rFonts w:hint="eastAsia"/>
          <w:rtl/>
        </w:rPr>
        <w:t>–</w:t>
      </w:r>
      <w:r>
        <w:rPr>
          <w:rFonts w:hint="cs"/>
          <w:rtl/>
        </w:rPr>
        <w:t>201</w:t>
      </w:r>
      <w:bookmarkEnd w:id="6"/>
      <w:r w:rsidR="00CA5DDA">
        <w:rPr>
          <w:rFonts w:hint="cs"/>
          <w:rtl/>
        </w:rPr>
        <w:t>8</w:t>
      </w:r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C71424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688FC823" w:rsidR="00C71424" w:rsidRDefault="00C71424" w:rsidP="00EA740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תיקון </w:t>
            </w:r>
            <w:r w:rsidR="00A84281">
              <w:rPr>
                <w:rFonts w:hint="cs"/>
                <w:rtl/>
              </w:rPr>
              <w:t>סעיף 1</w:t>
            </w:r>
          </w:p>
        </w:tc>
        <w:tc>
          <w:tcPr>
            <w:tcW w:w="624" w:type="dxa"/>
          </w:tcPr>
          <w:p w14:paraId="6F513EF6" w14:textId="6CF4945E" w:rsidR="00C71424" w:rsidRDefault="00C71424" w:rsidP="00C71424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1AE94DEB" w14:textId="2F73E8CB" w:rsidR="00C71424" w:rsidRPr="001F04DA" w:rsidRDefault="00C71424" w:rsidP="00EA740D">
            <w:pPr>
              <w:pStyle w:val="TableBlock"/>
            </w:pPr>
            <w:r w:rsidRPr="00CA5DDA">
              <w:rPr>
                <w:rFonts w:hint="eastAsia"/>
                <w:rtl/>
              </w:rPr>
              <w:t>בחוק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הבוררות</w:t>
            </w:r>
            <w:r w:rsidRPr="00CA5DDA">
              <w:rPr>
                <w:rtl/>
              </w:rPr>
              <w:t xml:space="preserve">, </w:t>
            </w:r>
            <w:r w:rsidRPr="00CA5DDA">
              <w:rPr>
                <w:rFonts w:hint="eastAsia"/>
                <w:rtl/>
              </w:rPr>
              <w:t>התשכ</w:t>
            </w:r>
            <w:r w:rsidRPr="00CA5DDA">
              <w:rPr>
                <w:rtl/>
              </w:rPr>
              <w:t>"ח</w:t>
            </w:r>
            <w:r w:rsidR="00EA740D">
              <w:rPr>
                <w:rFonts w:hint="eastAsia"/>
                <w:rtl/>
              </w:rPr>
              <w:t>–</w:t>
            </w:r>
            <w:r w:rsidRPr="00CA5DDA">
              <w:rPr>
                <w:rtl/>
              </w:rPr>
              <w:t>1968</w:t>
            </w:r>
            <w:r w:rsidRPr="00EA740D">
              <w:rPr>
                <w:vertAlign w:val="superscript"/>
                <w:rtl/>
              </w:rPr>
              <w:footnoteReference w:id="2"/>
            </w:r>
            <w:r w:rsidR="00FC41D6">
              <w:rPr>
                <w:rFonts w:hint="cs"/>
                <w:rtl/>
              </w:rPr>
              <w:t xml:space="preserve">, </w:t>
            </w:r>
            <w:r w:rsidRPr="00CA5DDA">
              <w:rPr>
                <w:rtl/>
              </w:rPr>
              <w:t xml:space="preserve">בסעיף 1, בהגדרה "בית המשפט", במקום "חוץ מן האמור בסעיפים 5 ו-6 </w:t>
            </w:r>
            <w:r w:rsidRPr="00CA5DDA">
              <w:rPr>
                <w:rFonts w:hint="eastAsia"/>
                <w:rtl/>
              </w:rPr>
              <w:t>–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בית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המשפט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המחוזי</w:t>
            </w:r>
            <w:r w:rsidRPr="00CA5DDA">
              <w:rPr>
                <w:rtl/>
              </w:rPr>
              <w:t xml:space="preserve">" </w:t>
            </w:r>
            <w:r w:rsidRPr="00CA5DDA">
              <w:rPr>
                <w:rFonts w:hint="eastAsia"/>
                <w:rtl/>
              </w:rPr>
              <w:t>יבוא</w:t>
            </w:r>
            <w:r w:rsidRPr="00CA5DDA">
              <w:rPr>
                <w:rtl/>
              </w:rPr>
              <w:t xml:space="preserve"> "בית המשפט </w:t>
            </w:r>
            <w:r w:rsidRPr="00CA5DDA">
              <w:rPr>
                <w:rFonts w:hint="eastAsia"/>
                <w:rtl/>
              </w:rPr>
              <w:t>ש</w:t>
            </w:r>
            <w:r w:rsidRPr="00CA5DDA">
              <w:rPr>
                <w:rtl/>
              </w:rPr>
              <w:t xml:space="preserve">לו </w:t>
            </w:r>
            <w:r w:rsidRPr="00CA5DDA">
              <w:rPr>
                <w:rFonts w:hint="eastAsia"/>
                <w:rtl/>
              </w:rPr>
              <w:t>הסמכות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לדון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בעניין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שמוסכם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למסרו</w:t>
            </w:r>
            <w:r w:rsidRPr="00CA5DDA">
              <w:rPr>
                <w:rtl/>
              </w:rPr>
              <w:t xml:space="preserve"> </w:t>
            </w:r>
            <w:r w:rsidRPr="00CA5DDA">
              <w:rPr>
                <w:rFonts w:hint="eastAsia"/>
                <w:rtl/>
              </w:rPr>
              <w:t>לבוררות</w:t>
            </w:r>
            <w:r w:rsidRPr="00CA5DDA">
              <w:rPr>
                <w:rtl/>
              </w:rPr>
              <w:t xml:space="preserve">, </w:t>
            </w:r>
            <w:r w:rsidRPr="00CA5DDA">
              <w:rPr>
                <w:rFonts w:hint="eastAsia"/>
                <w:rtl/>
              </w:rPr>
              <w:t>לפי</w:t>
            </w:r>
            <w:r w:rsidRPr="00CA5DDA">
              <w:rPr>
                <w:rtl/>
              </w:rPr>
              <w:t xml:space="preserve"> חוק בתי המשפט [נוסח משולב], התשמ"ד</w:t>
            </w:r>
            <w:r w:rsidRPr="00CA5DDA">
              <w:rPr>
                <w:rFonts w:hint="eastAsia"/>
                <w:rtl/>
              </w:rPr>
              <w:t>–</w:t>
            </w:r>
            <w:r w:rsidRPr="00CA5DDA">
              <w:rPr>
                <w:rtl/>
              </w:rPr>
              <w:t>1984</w:t>
            </w:r>
            <w:r w:rsidR="00EA740D" w:rsidRPr="002D017A">
              <w:rPr>
                <w:szCs w:val="20"/>
                <w:rtl/>
              </w:rPr>
              <w:footnoteReference w:id="3"/>
            </w:r>
            <w:r w:rsidRPr="00CA5DDA">
              <w:rPr>
                <w:rtl/>
              </w:rPr>
              <w:t>."</w:t>
            </w:r>
          </w:p>
        </w:tc>
      </w:tr>
      <w:tr w:rsidR="00C71424" w14:paraId="3D9B61D1" w14:textId="77777777" w:rsidTr="002C3041">
        <w:trPr>
          <w:cantSplit/>
          <w:trHeight w:val="60"/>
        </w:trPr>
        <w:tc>
          <w:tcPr>
            <w:tcW w:w="1871" w:type="dxa"/>
          </w:tcPr>
          <w:p w14:paraId="6C0CB9D8" w14:textId="3C9DE9EA" w:rsidR="00C71424" w:rsidRDefault="00C71424" w:rsidP="00C71424">
            <w:pPr>
              <w:pStyle w:val="TableSideHeading"/>
              <w:keepLines w:val="0"/>
            </w:pPr>
            <w:r w:rsidRPr="002D017A">
              <w:rPr>
                <w:rFonts w:hint="cs"/>
                <w:rtl/>
              </w:rPr>
              <w:t xml:space="preserve">תיקון </w:t>
            </w:r>
            <w:r>
              <w:rPr>
                <w:rFonts w:hint="cs"/>
                <w:rtl/>
              </w:rPr>
              <w:t>חוק בתי המשפט</w:t>
            </w:r>
          </w:p>
        </w:tc>
        <w:tc>
          <w:tcPr>
            <w:tcW w:w="624" w:type="dxa"/>
          </w:tcPr>
          <w:p w14:paraId="3F4286A2" w14:textId="6B76182F" w:rsidR="00C71424" w:rsidRDefault="00C71424" w:rsidP="00C71424">
            <w:pPr>
              <w:pStyle w:val="TableText"/>
              <w:keepLines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</w:tcPr>
          <w:p w14:paraId="7633D5BB" w14:textId="28A25365" w:rsidR="00C71424" w:rsidRPr="00C34DE2" w:rsidRDefault="00C71424" w:rsidP="00DB17E6">
            <w:pPr>
              <w:pStyle w:val="TableBlock"/>
              <w:keepLines w:val="0"/>
            </w:pPr>
            <w:r w:rsidRPr="002D017A">
              <w:rPr>
                <w:rFonts w:hint="cs"/>
                <w:rtl/>
              </w:rPr>
              <w:t>בחוק בתי המשפט [נוסח משולב], התשמ"ד</w:t>
            </w:r>
            <w:r>
              <w:rPr>
                <w:rFonts w:hint="eastAsia"/>
                <w:rtl/>
              </w:rPr>
              <w:t>–</w:t>
            </w:r>
            <w:r w:rsidRPr="002D017A">
              <w:rPr>
                <w:rFonts w:hint="cs"/>
                <w:rtl/>
              </w:rPr>
              <w:t>1984</w:t>
            </w:r>
            <w:r w:rsidR="00FC41D6">
              <w:rPr>
                <w:rStyle w:val="a6"/>
                <w:rtl/>
              </w:rPr>
              <w:footnoteReference w:id="4"/>
            </w:r>
            <w:r w:rsidRPr="002D017A">
              <w:rPr>
                <w:rFonts w:hint="cs"/>
                <w:rtl/>
              </w:rPr>
              <w:t>, בסעיף 79ב(ג)</w:t>
            </w:r>
            <w:r>
              <w:rPr>
                <w:rFonts w:hint="cs"/>
                <w:rtl/>
              </w:rPr>
              <w:t>, הסיפה החל במיל</w:t>
            </w:r>
            <w:r w:rsidR="00DB17E6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 "אולם" </w:t>
            </w:r>
            <w:r>
              <w:rPr>
                <w:rFonts w:hint="eastAsia"/>
                <w:rtl/>
              </w:rPr>
              <w:t xml:space="preserve">– </w:t>
            </w:r>
            <w:r>
              <w:rPr>
                <w:rFonts w:hint="cs"/>
                <w:rtl/>
              </w:rPr>
              <w:t>תימחק.</w:t>
            </w:r>
            <w:r w:rsidR="00EA740D">
              <w:rPr>
                <w:rFonts w:hint="cs"/>
                <w:rtl/>
              </w:rPr>
              <w:t xml:space="preserve"> </w:t>
            </w:r>
          </w:p>
        </w:tc>
      </w:tr>
    </w:tbl>
    <w:p w14:paraId="77C026E9" w14:textId="77777777" w:rsidR="0048720C" w:rsidRDefault="0048720C" w:rsidP="002D1EE3">
      <w:pPr>
        <w:pStyle w:val="HeadDivreiHesber"/>
        <w:rPr>
          <w:rtl/>
        </w:rPr>
      </w:pPr>
      <w:r>
        <w:rPr>
          <w:rtl/>
        </w:rPr>
        <w:br w:type="page"/>
      </w:r>
    </w:p>
    <w:p w14:paraId="249D162F" w14:textId="69763AF1" w:rsidR="0048720C" w:rsidRDefault="0048720C" w:rsidP="002D1EE3">
      <w:pPr>
        <w:pStyle w:val="HeadDivreiHesber"/>
        <w:rPr>
          <w:rtl/>
        </w:rPr>
      </w:pPr>
      <w:bookmarkStart w:id="7" w:name="_GoBack"/>
      <w:bookmarkEnd w:id="7"/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AFBC813" w14:textId="04061CCF" w:rsidR="00C71424" w:rsidRPr="002D017A" w:rsidRDefault="00C71424" w:rsidP="00FC41D6">
      <w:pPr>
        <w:pStyle w:val="Hesber"/>
        <w:rPr>
          <w:rtl/>
        </w:rPr>
      </w:pPr>
      <w:r w:rsidRPr="002D017A">
        <w:rPr>
          <w:rFonts w:hint="cs"/>
          <w:rtl/>
        </w:rPr>
        <w:t>כיום</w:t>
      </w:r>
      <w:r w:rsidRPr="002D017A">
        <w:rPr>
          <w:rtl/>
        </w:rPr>
        <w:t xml:space="preserve">, </w:t>
      </w:r>
      <w:r w:rsidR="00FC41D6">
        <w:rPr>
          <w:rFonts w:hint="cs"/>
          <w:rtl/>
        </w:rPr>
        <w:t>אם</w:t>
      </w:r>
      <w:r w:rsidRPr="002D017A">
        <w:rPr>
          <w:rtl/>
        </w:rPr>
        <w:t xml:space="preserve"> </w:t>
      </w:r>
      <w:r w:rsidRPr="002D017A">
        <w:rPr>
          <w:rFonts w:hint="cs"/>
          <w:rtl/>
        </w:rPr>
        <w:t>מתדיינים</w:t>
      </w:r>
      <w:r w:rsidRPr="002D017A">
        <w:rPr>
          <w:rtl/>
        </w:rPr>
        <w:t xml:space="preserve"> פונים לבוררות</w:t>
      </w:r>
      <w:r w:rsidRPr="002D017A">
        <w:rPr>
          <w:rFonts w:hint="cs"/>
          <w:rtl/>
        </w:rPr>
        <w:t xml:space="preserve">, בהתאם לחוק הבוררות, </w:t>
      </w:r>
      <w:r w:rsidR="00CA5DDA">
        <w:rPr>
          <w:rFonts w:hint="cs"/>
          <w:rtl/>
        </w:rPr>
        <w:t>ה</w:t>
      </w:r>
      <w:r w:rsidRPr="002D017A">
        <w:rPr>
          <w:rFonts w:hint="cs"/>
          <w:rtl/>
        </w:rPr>
        <w:t>תשכ"ח</w:t>
      </w:r>
      <w:r w:rsidR="00CA5DDA">
        <w:rPr>
          <w:rFonts w:hint="eastAsia"/>
          <w:rtl/>
        </w:rPr>
        <w:t>–</w:t>
      </w:r>
      <w:r w:rsidRPr="002D017A">
        <w:rPr>
          <w:rFonts w:hint="cs"/>
          <w:rtl/>
        </w:rPr>
        <w:t xml:space="preserve">1968, </w:t>
      </w:r>
      <w:r w:rsidRPr="002D017A">
        <w:rPr>
          <w:rtl/>
        </w:rPr>
        <w:t xml:space="preserve">בית המשפט המוסמך לדון באותו עניין </w:t>
      </w:r>
      <w:r w:rsidRPr="002D017A">
        <w:rPr>
          <w:rFonts w:hint="cs"/>
          <w:rtl/>
        </w:rPr>
        <w:t xml:space="preserve">יהיה </w:t>
      </w:r>
      <w:r w:rsidRPr="002D017A">
        <w:rPr>
          <w:rtl/>
        </w:rPr>
        <w:t>בית המשפט המחוזי</w:t>
      </w:r>
      <w:r w:rsidR="00CA5DDA">
        <w:rPr>
          <w:rFonts w:hint="cs"/>
          <w:rtl/>
        </w:rPr>
        <w:t xml:space="preserve">, </w:t>
      </w:r>
      <w:r w:rsidRPr="002D017A">
        <w:rPr>
          <w:rFonts w:hint="cs"/>
          <w:rtl/>
        </w:rPr>
        <w:t>לו נתונה סמכות ייחודית</w:t>
      </w:r>
      <w:r w:rsidR="00DB17E6">
        <w:rPr>
          <w:rFonts w:hint="cs"/>
          <w:rtl/>
        </w:rPr>
        <w:t xml:space="preserve"> בעניין. </w:t>
      </w:r>
      <w:r w:rsidR="00FC41D6">
        <w:rPr>
          <w:rFonts w:hint="cs"/>
          <w:rtl/>
        </w:rPr>
        <w:t>ו</w:t>
      </w:r>
      <w:r w:rsidRPr="002D017A">
        <w:rPr>
          <w:rtl/>
        </w:rPr>
        <w:t>א</w:t>
      </w:r>
      <w:r w:rsidR="00DB17E6">
        <w:rPr>
          <w:rFonts w:hint="cs"/>
          <w:rtl/>
        </w:rPr>
        <w:t>ו</w:t>
      </w:r>
      <w:r w:rsidRPr="002D017A">
        <w:rPr>
          <w:rtl/>
        </w:rPr>
        <w:t>ל</w:t>
      </w:r>
      <w:r w:rsidR="00DB17E6">
        <w:rPr>
          <w:rFonts w:hint="cs"/>
          <w:rtl/>
        </w:rPr>
        <w:t xml:space="preserve">ם, </w:t>
      </w:r>
      <w:r w:rsidR="00FC41D6">
        <w:rPr>
          <w:rFonts w:hint="cs"/>
          <w:rtl/>
        </w:rPr>
        <w:t>אם</w:t>
      </w:r>
      <w:r w:rsidR="00DB17E6">
        <w:rPr>
          <w:rFonts w:hint="cs"/>
          <w:rtl/>
        </w:rPr>
        <w:t xml:space="preserve"> </w:t>
      </w:r>
      <w:r w:rsidRPr="002D017A">
        <w:rPr>
          <w:rtl/>
        </w:rPr>
        <w:t>בית המשפט העביר את העניין לבוררות</w:t>
      </w:r>
      <w:r w:rsidR="00DB17E6">
        <w:rPr>
          <w:rFonts w:hint="cs"/>
          <w:rtl/>
        </w:rPr>
        <w:t xml:space="preserve">, אזי הוא ישאר </w:t>
      </w:r>
      <w:r w:rsidRPr="002D017A">
        <w:rPr>
          <w:rtl/>
        </w:rPr>
        <w:t xml:space="preserve">בית המשפט המוסמך </w:t>
      </w:r>
      <w:r w:rsidR="00DB17E6">
        <w:rPr>
          <w:rFonts w:hint="cs"/>
          <w:rtl/>
        </w:rPr>
        <w:t>לעניין</w:t>
      </w:r>
      <w:r w:rsidRPr="002D017A">
        <w:rPr>
          <w:rtl/>
        </w:rPr>
        <w:t>.</w:t>
      </w:r>
      <w:r w:rsidRPr="002D017A">
        <w:rPr>
          <w:rFonts w:hint="cs"/>
          <w:rtl/>
        </w:rPr>
        <w:t xml:space="preserve"> מצב דברים זה יוצר הבחנה לא מוצדקת, </w:t>
      </w:r>
      <w:r w:rsidR="00CA5DDA">
        <w:rPr>
          <w:rFonts w:hint="cs"/>
          <w:rtl/>
        </w:rPr>
        <w:t>המובילה לכך</w:t>
      </w:r>
      <w:r w:rsidRPr="002D017A">
        <w:rPr>
          <w:rFonts w:hint="cs"/>
          <w:rtl/>
        </w:rPr>
        <w:t xml:space="preserve"> </w:t>
      </w:r>
      <w:r w:rsidR="00CA5DDA">
        <w:rPr>
          <w:rFonts w:hint="cs"/>
          <w:rtl/>
        </w:rPr>
        <w:t>ש</w:t>
      </w:r>
      <w:r w:rsidRPr="002D017A">
        <w:rPr>
          <w:rtl/>
        </w:rPr>
        <w:t xml:space="preserve">בתי המשפט המחוזיים מנהלים סכסוכים </w:t>
      </w:r>
      <w:r w:rsidR="00CA5DDA">
        <w:rPr>
          <w:rFonts w:hint="cs"/>
          <w:rtl/>
        </w:rPr>
        <w:t>ה</w:t>
      </w:r>
      <w:r w:rsidR="00CA5DDA" w:rsidRPr="002D017A">
        <w:rPr>
          <w:rtl/>
        </w:rPr>
        <w:t xml:space="preserve">מצויים </w:t>
      </w:r>
      <w:r w:rsidRPr="002D017A">
        <w:rPr>
          <w:rtl/>
        </w:rPr>
        <w:t>בסמכותם העניינית של בתי משפט השלום.</w:t>
      </w:r>
    </w:p>
    <w:p w14:paraId="583765C1" w14:textId="321F78DD" w:rsidR="00C71424" w:rsidRPr="002D017A" w:rsidRDefault="00C71424" w:rsidP="00DB17E6">
      <w:pPr>
        <w:pStyle w:val="Hesber"/>
        <w:rPr>
          <w:rtl/>
        </w:rPr>
      </w:pPr>
      <w:r w:rsidRPr="002D017A">
        <w:rPr>
          <w:rFonts w:hint="cs"/>
          <w:rtl/>
        </w:rPr>
        <w:t xml:space="preserve">מוצע </w:t>
      </w:r>
      <w:r w:rsidRPr="002D017A">
        <w:rPr>
          <w:rtl/>
        </w:rPr>
        <w:t xml:space="preserve">לקבוע </w:t>
      </w:r>
      <w:r w:rsidRPr="002D017A">
        <w:rPr>
          <w:rFonts w:hint="cs"/>
          <w:rtl/>
        </w:rPr>
        <w:t>כי</w:t>
      </w:r>
      <w:r w:rsidRPr="002D017A">
        <w:rPr>
          <w:rtl/>
        </w:rPr>
        <w:t xml:space="preserve"> עניין שלפי חוק הבוררות יוגש בהתאם לכללי הסמכות העניינית הרגילים</w:t>
      </w:r>
      <w:r w:rsidRPr="002D017A">
        <w:rPr>
          <w:rFonts w:hint="cs"/>
          <w:rtl/>
        </w:rPr>
        <w:t>. כ</w:t>
      </w:r>
      <w:r w:rsidR="00DB17E6">
        <w:rPr>
          <w:rFonts w:hint="cs"/>
          <w:rtl/>
        </w:rPr>
        <w:t>לומר, אם עניין מסויים הנדון בבוררות מצוי בסמכות העניינית של בית משפט השלום, אזי בית משפט השלום יהיה גם בית המשפט המוסמך לדון בעניינים הנוגעים לאותה בוררות</w:t>
      </w:r>
      <w:r w:rsidRPr="002D017A">
        <w:rPr>
          <w:rtl/>
        </w:rPr>
        <w:t>.</w:t>
      </w:r>
      <w:r w:rsidRPr="002D017A">
        <w:rPr>
          <w:rFonts w:hint="cs"/>
          <w:rtl/>
        </w:rPr>
        <w:t xml:space="preserve"> </w:t>
      </w:r>
    </w:p>
    <w:p w14:paraId="7F6961CB" w14:textId="64125D9E" w:rsidR="00E13C27" w:rsidRDefault="00FC41D6" w:rsidP="00FC41D6">
      <w:pPr>
        <w:pStyle w:val="Hesber"/>
        <w:rPr>
          <w:rtl/>
        </w:rPr>
      </w:pPr>
      <w:r>
        <w:rPr>
          <w:rFonts w:hint="cs"/>
          <w:rtl/>
        </w:rPr>
        <w:t>ה</w:t>
      </w:r>
      <w:r w:rsidR="00C71424" w:rsidRPr="002D017A">
        <w:rPr>
          <w:rFonts w:hint="cs"/>
          <w:rtl/>
        </w:rPr>
        <w:t xml:space="preserve">תיקון </w:t>
      </w:r>
      <w:r>
        <w:rPr>
          <w:rFonts w:hint="cs"/>
          <w:rtl/>
        </w:rPr>
        <w:t>המוצע</w:t>
      </w:r>
      <w:r w:rsidR="00C71424" w:rsidRPr="002D017A">
        <w:rPr>
          <w:rFonts w:hint="cs"/>
          <w:rtl/>
        </w:rPr>
        <w:t xml:space="preserve"> הולם את המלצות הוועדה לבדיקת מבנה בתי המשפט הרגילים בישראל (ועדת אור </w:t>
      </w:r>
      <w:r w:rsidR="00C71424" w:rsidRPr="002D017A">
        <w:rPr>
          <w:rtl/>
        </w:rPr>
        <w:t>–</w:t>
      </w:r>
      <w:r w:rsidR="00C71424" w:rsidRPr="002D017A">
        <w:rPr>
          <w:rFonts w:hint="cs"/>
          <w:rtl/>
        </w:rPr>
        <w:t xml:space="preserve"> 1997).</w:t>
      </w:r>
    </w:p>
    <w:p w14:paraId="60BA3F11" w14:textId="77777777" w:rsidR="00FC41D6" w:rsidRDefault="00FC41D6" w:rsidP="00FC41D6">
      <w:pPr>
        <w:pStyle w:val="Hesber"/>
        <w:rPr>
          <w:rtl/>
        </w:rPr>
      </w:pPr>
    </w:p>
    <w:p w14:paraId="04B61CA5" w14:textId="77777777" w:rsidR="00FC41D6" w:rsidRPr="00D73212" w:rsidRDefault="00FC41D6" w:rsidP="00FC41D6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975A93A" w14:textId="77777777" w:rsidR="00FC41D6" w:rsidRPr="00D73212" w:rsidRDefault="00FC41D6" w:rsidP="00FC41D6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1E9F442" w14:textId="77777777" w:rsidR="00FC41D6" w:rsidRPr="00D73212" w:rsidRDefault="00FC41D6" w:rsidP="00FC41D6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574C47D0" w14:textId="77777777" w:rsidR="00FC41D6" w:rsidRPr="00317312" w:rsidRDefault="00FC41D6" w:rsidP="00FC41D6">
      <w:pPr>
        <w:pStyle w:val="Hesber"/>
      </w:pPr>
      <w:r>
        <w:rPr>
          <w:rFonts w:hint="cs"/>
          <w:color w:val="auto"/>
          <w:rtl/>
          <w:lang w:eastAsia="en-US"/>
        </w:rPr>
        <w:t>כ"ח בטבת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ח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15.1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18</w:t>
      </w:r>
    </w:p>
    <w:p w14:paraId="4FE9E183" w14:textId="77777777" w:rsidR="00FC41D6" w:rsidRDefault="00FC41D6" w:rsidP="00FC41D6">
      <w:pPr>
        <w:pStyle w:val="Hesber"/>
        <w:rPr>
          <w:rtl/>
        </w:rPr>
      </w:pPr>
    </w:p>
    <w:sectPr w:rsidR="00FC41D6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48720C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6A79EC0C" w14:textId="77777777" w:rsidR="00C71424" w:rsidRDefault="00C71424" w:rsidP="00C71424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התשכ"ח, עמ' 184.</w:t>
      </w:r>
    </w:p>
  </w:footnote>
  <w:footnote w:id="3">
    <w:p w14:paraId="6E3AD3BE" w14:textId="2C0DCDF1" w:rsidR="00EA740D" w:rsidRDefault="00EA740D" w:rsidP="00FC41D6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r w:rsidR="00FC41D6">
        <w:rPr>
          <w:rFonts w:hint="cs"/>
          <w:rtl/>
        </w:rPr>
        <w:t>התשמ"ד</w:t>
      </w:r>
      <w:r>
        <w:rPr>
          <w:rFonts w:hint="cs"/>
          <w:rtl/>
        </w:rPr>
        <w:t xml:space="preserve">, עמ' </w:t>
      </w:r>
      <w:r w:rsidR="00FC41D6">
        <w:rPr>
          <w:rFonts w:hint="cs"/>
          <w:rtl/>
        </w:rPr>
        <w:t>198</w:t>
      </w:r>
      <w:r>
        <w:rPr>
          <w:rFonts w:hint="cs"/>
          <w:rtl/>
        </w:rPr>
        <w:t>.</w:t>
      </w:r>
    </w:p>
  </w:footnote>
  <w:footnote w:id="4">
    <w:p w14:paraId="7666100C" w14:textId="1A81871C" w:rsidR="00FC41D6" w:rsidRDefault="00FC41D6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התשמ"ד, עמ' 198.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1F04DA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73880"/>
    <w:rsid w:val="0048720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5F3EA1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5347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84281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71424"/>
    <w:rsid w:val="00C9176A"/>
    <w:rsid w:val="00CA5DDA"/>
    <w:rsid w:val="00CF1AA2"/>
    <w:rsid w:val="00D17774"/>
    <w:rsid w:val="00D63620"/>
    <w:rsid w:val="00D8410D"/>
    <w:rsid w:val="00D867D7"/>
    <w:rsid w:val="00DB17E6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40D"/>
    <w:rsid w:val="00EA758F"/>
    <w:rsid w:val="00ED4A6F"/>
    <w:rsid w:val="00EF3A3A"/>
    <w:rsid w:val="00F628D6"/>
    <w:rsid w:val="00F67051"/>
    <w:rsid w:val="00F86A1E"/>
    <w:rsid w:val="00FA5E88"/>
    <w:rsid w:val="00FC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link w:val="a4"/>
    <w:rsid w:val="00C71424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BA7B-3A0B-4D69-9BC7-A7714F82F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9ACD3-C546-4944-8FA4-0C7537A9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270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13</cp:revision>
  <cp:lastPrinted>2018-01-11T09:17:00Z</cp:lastPrinted>
  <dcterms:created xsi:type="dcterms:W3CDTF">2015-04-20T09:58:00Z</dcterms:created>
  <dcterms:modified xsi:type="dcterms:W3CDTF">2018-01-11T09:17:00Z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2019903</vt:r8>
  </property>
</Properties>
</file>