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00131B" w:rsidRDefault="004033D8" w:rsidP="00A443CF">
      <w:pPr>
        <w:pStyle w:val="HeadHatzaotHok"/>
        <w:jc w:val="right"/>
        <w:rPr>
          <w:b w:val="0"/>
          <w:bCs w:val="0"/>
          <w:szCs w:val="20"/>
        </w:rPr>
      </w:pPr>
      <w:r w:rsidRPr="0000131B">
        <w:rPr>
          <w:rFonts w:hint="cs"/>
          <w:b w:val="0"/>
          <w:bCs w:val="0"/>
          <w:szCs w:val="20"/>
          <w:rtl/>
        </w:rPr>
        <w:t xml:space="preserve">מספר פנימי: </w:t>
      </w:r>
      <w:bookmarkStart w:id="0" w:name="LGS_Internal_ID"/>
      <w:r>
        <w:rPr>
          <w:rFonts w:hint="cs"/>
          <w:b w:val="0"/>
          <w:bCs w:val="0"/>
          <w:szCs w:val="20"/>
          <w:rtl/>
        </w:rPr>
        <w:t>2020642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</w:t>
      </w:r>
      <w:bookmarkEnd w:id="1"/>
    </w:p>
    <w:p w14:paraId="7F6961A3" w14:textId="77777777" w:rsidR="00E13C27" w:rsidRPr="00F67051" w:rsidRDefault="00E13C27" w:rsidP="00E13C27">
      <w:pPr>
        <w:rPr>
          <w:rFonts w:cs="David"/>
          <w:b/>
          <w:bCs/>
          <w:sz w:val="26"/>
          <w:szCs w:val="26"/>
          <w:rtl/>
        </w:rPr>
      </w:pPr>
    </w:p>
    <w:p w14:paraId="7F6961A6" w14:textId="77777777" w:rsidR="00E13C27" w:rsidRDefault="008F6665" w:rsidP="00930EFE">
      <w:pPr>
        <w:pStyle w:val="David"/>
        <w:spacing w:line="360" w:lineRule="auto"/>
        <w:ind w:left="3544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יוזמים:      חברי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רועי פולקמן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אלי אלאלוף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אכרם חסון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מירב בן ארי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משה גפני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יוליה מלינובסקי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נורית קורן</w:t>
      </w:r>
      <w:bookmarkEnd w:id="3"/>
    </w:p>
    <w:p w14:paraId="7F6961AA" w14:textId="39F9D96B" w:rsidR="00E13C27" w:rsidRPr="00CF1AA2" w:rsidRDefault="007D585A" w:rsidP="0036422C">
      <w:pPr>
        <w:pStyle w:val="David"/>
        <w:spacing w:before="0" w:line="360" w:lineRule="auto"/>
        <w:ind w:left="3544"/>
        <w:rPr>
          <w:b/>
          <w:bCs/>
          <w:sz w:val="16"/>
          <w:szCs w:val="16"/>
          <w:rtl/>
        </w:rPr>
      </w:pPr>
      <w:bookmarkStart w:id="4" w:name="LGS_Join_List"/>
      <w:r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>
        <w:rPr>
          <w:rFonts w:hint="cs"/>
          <w:rtl/>
        </w:rPr>
        <w:t xml:space="preserve"> </w:t>
      </w:r>
      <w:bookmarkEnd w:id="5"/>
    </w:p>
    <w:p w14:paraId="34DB4103" w14:textId="77777777" w:rsidR="00904591" w:rsidRPr="00904591" w:rsidRDefault="00266D86" w:rsidP="0036422C">
      <w:pPr>
        <w:pStyle w:val="David"/>
        <w:spacing w:before="0" w:line="360" w:lineRule="auto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B" w14:textId="256138AA" w:rsidR="00E13C27" w:rsidRPr="00E06736" w:rsidRDefault="00904591" w:rsidP="00904591">
      <w:pPr>
        <w:pStyle w:val="David"/>
        <w:spacing w:before="0" w:line="240" w:lineRule="auto"/>
        <w:ind w:left="3544"/>
        <w:rPr>
          <w:rtl/>
        </w:rPr>
      </w:pPr>
      <w:r>
        <w:t xml:space="preserve">                                            </w:t>
      </w:r>
      <w:r w:rsidR="008F1308">
        <w:t xml:space="preserve"> </w:t>
      </w:r>
      <w:bookmarkStart w:id="6" w:name="Private_Number"/>
      <w:r>
        <w:rPr>
          <w:rFonts w:hint="cs"/>
          <w:rtl/>
        </w:rPr>
        <w:t>פ/4608/20</w:t>
      </w:r>
      <w:bookmarkEnd w:id="6"/>
    </w:p>
    <w:p w14:paraId="7F6961AD" w14:textId="1244A332" w:rsidR="00E13C27" w:rsidRPr="00F67051" w:rsidRDefault="00A443CF" w:rsidP="00CE3D26">
      <w:pPr>
        <w:pStyle w:val="HeadHatzaotHok"/>
        <w:rPr>
          <w:rtl/>
        </w:rPr>
      </w:pPr>
      <w:bookmarkStart w:id="7" w:name="LGS_Subject"/>
      <w:r>
        <w:rPr>
          <w:rFonts w:hint="cs"/>
          <w:rtl/>
        </w:rPr>
        <w:t xml:space="preserve">הצעת חוק ביטוח בריאות ממלכתי (תיקון </w:t>
      </w:r>
      <w:r w:rsidR="00CE3D26">
        <w:rPr>
          <w:rFonts w:hint="eastAsia"/>
          <w:rtl/>
        </w:rPr>
        <w:t>–</w:t>
      </w:r>
      <w:r>
        <w:rPr>
          <w:rFonts w:hint="cs"/>
          <w:rtl/>
        </w:rPr>
        <w:t xml:space="preserve"> מימוש מרשם בכל בית מרקחת), התשע"ח</w:t>
      </w:r>
      <w:r w:rsidR="00CE3D26">
        <w:rPr>
          <w:rFonts w:hint="eastAsia"/>
          <w:rtl/>
        </w:rPr>
        <w:t>–</w:t>
      </w:r>
      <w:r>
        <w:rPr>
          <w:rFonts w:hint="cs"/>
          <w:rtl/>
        </w:rPr>
        <w:t>2017</w:t>
      </w:r>
      <w:bookmarkEnd w:id="7"/>
    </w:p>
    <w:p w14:paraId="7F6961AE" w14:textId="77777777" w:rsidR="00E13C27" w:rsidRDefault="00E13C27" w:rsidP="0021633A">
      <w:pPr>
        <w:pStyle w:val="HeadDivreiHesber"/>
        <w:spacing w:before="0" w:after="0"/>
        <w:rPr>
          <w:rtl/>
        </w:rPr>
      </w:pPr>
    </w:p>
    <w:tbl>
      <w:tblPr>
        <w:bidiVisual/>
        <w:tblW w:w="9641" w:type="dxa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0"/>
        <w:gridCol w:w="624"/>
        <w:gridCol w:w="624"/>
        <w:gridCol w:w="624"/>
        <w:gridCol w:w="625"/>
        <w:gridCol w:w="624"/>
        <w:gridCol w:w="624"/>
        <w:gridCol w:w="4003"/>
        <w:gridCol w:w="23"/>
      </w:tblGrid>
      <w:tr w:rsidR="00BF48F6" w:rsidRPr="00BA4337" w14:paraId="61102758" w14:textId="77777777" w:rsidTr="00BF48F6">
        <w:trPr>
          <w:gridAfter w:val="1"/>
          <w:wAfter w:w="23" w:type="dxa"/>
          <w:cantSplit/>
        </w:trPr>
        <w:tc>
          <w:tcPr>
            <w:tcW w:w="1870" w:type="dxa"/>
          </w:tcPr>
          <w:p w14:paraId="4F1A6634" w14:textId="77777777" w:rsidR="00BF48F6" w:rsidRPr="00BA4337" w:rsidRDefault="00BF48F6" w:rsidP="00A47F96">
            <w:pPr>
              <w:pStyle w:val="TableSideHeading"/>
              <w:ind w:right="0"/>
            </w:pPr>
            <w:r w:rsidRPr="00BA4337">
              <w:rPr>
                <w:rtl/>
              </w:rPr>
              <w:t>הוספת סעי</w:t>
            </w:r>
            <w:r>
              <w:rPr>
                <w:rtl/>
              </w:rPr>
              <w:t>פים</w:t>
            </w:r>
            <w:r w:rsidRPr="00BA4337">
              <w:rPr>
                <w:rtl/>
              </w:rPr>
              <w:t xml:space="preserve"> </w:t>
            </w:r>
            <w:r>
              <w:rPr>
                <w:rtl/>
              </w:rPr>
              <w:br/>
            </w:r>
            <w:r w:rsidRPr="00BA4337">
              <w:rPr>
                <w:rtl/>
              </w:rPr>
              <w:t>21ד</w:t>
            </w:r>
            <w:r>
              <w:rPr>
                <w:rtl/>
              </w:rPr>
              <w:t xml:space="preserve"> עד 21ז </w:t>
            </w:r>
          </w:p>
        </w:tc>
        <w:tc>
          <w:tcPr>
            <w:tcW w:w="624" w:type="dxa"/>
          </w:tcPr>
          <w:p w14:paraId="42CFBFFE" w14:textId="77777777" w:rsidR="00BF48F6" w:rsidRPr="00BA4337" w:rsidRDefault="00BF48F6" w:rsidP="00A47F96">
            <w:pPr>
              <w:pStyle w:val="TableText"/>
              <w:ind w:right="0"/>
              <w:jc w:val="both"/>
            </w:pPr>
            <w:r w:rsidRPr="00BA4337">
              <w:rPr>
                <w:rtl/>
              </w:rPr>
              <w:t>1.</w:t>
            </w:r>
          </w:p>
        </w:tc>
        <w:tc>
          <w:tcPr>
            <w:tcW w:w="7124" w:type="dxa"/>
            <w:gridSpan w:val="6"/>
          </w:tcPr>
          <w:p w14:paraId="37054AB7" w14:textId="77777777" w:rsidR="00BF48F6" w:rsidRPr="00BA4337" w:rsidRDefault="00BF48F6" w:rsidP="00A47F96">
            <w:pPr>
              <w:pStyle w:val="TableBlock"/>
            </w:pPr>
            <w:r w:rsidRPr="00BA4337">
              <w:rPr>
                <w:rtl/>
              </w:rPr>
              <w:t>בחוק ביטוח בריאות ממלכתי, התש</w:t>
            </w:r>
            <w:r>
              <w:rPr>
                <w:rtl/>
              </w:rPr>
              <w:t>נ</w:t>
            </w:r>
            <w:r w:rsidRPr="00BA4337">
              <w:rPr>
                <w:rtl/>
              </w:rPr>
              <w:t>"ד–</w:t>
            </w:r>
            <w:r>
              <w:rPr>
                <w:rtl/>
              </w:rPr>
              <w:t>1994</w:t>
            </w:r>
            <w:r w:rsidRPr="00BA4337">
              <w:rPr>
                <w:vertAlign w:val="superscript"/>
                <w:rtl/>
              </w:rPr>
              <w:footnoteReference w:id="2"/>
            </w:r>
            <w:r w:rsidRPr="00BA4337">
              <w:rPr>
                <w:vertAlign w:val="superscript"/>
                <w:rtl/>
              </w:rPr>
              <w:t xml:space="preserve"> </w:t>
            </w:r>
            <w:r w:rsidRPr="00BA4337">
              <w:rPr>
                <w:rtl/>
              </w:rPr>
              <w:t>(להלן – החוק העיקרי), אחרי סעיף 21ג יבוא:</w:t>
            </w:r>
            <w:r w:rsidRPr="00BA4337">
              <w:rPr>
                <w:rtl/>
              </w:rPr>
              <w:tab/>
            </w:r>
            <w:r w:rsidRPr="00BA4337">
              <w:rPr>
                <w:rtl/>
              </w:rPr>
              <w:tab/>
            </w:r>
          </w:p>
        </w:tc>
      </w:tr>
      <w:tr w:rsidR="00BF48F6" w14:paraId="51B5D652" w14:textId="77777777" w:rsidTr="00BF48F6">
        <w:trPr>
          <w:cantSplit/>
        </w:trPr>
        <w:tc>
          <w:tcPr>
            <w:tcW w:w="1870" w:type="dxa"/>
          </w:tcPr>
          <w:p w14:paraId="43C24524" w14:textId="77777777" w:rsidR="00BF48F6" w:rsidRDefault="00BF48F6" w:rsidP="00A47F96">
            <w:pPr>
              <w:pStyle w:val="TableSideHeading"/>
              <w:keepLines w:val="0"/>
            </w:pPr>
          </w:p>
        </w:tc>
        <w:tc>
          <w:tcPr>
            <w:tcW w:w="624" w:type="dxa"/>
          </w:tcPr>
          <w:p w14:paraId="0EE35EAE" w14:textId="77777777" w:rsidR="00BF48F6" w:rsidRDefault="00BF48F6" w:rsidP="00A47F96">
            <w:pPr>
              <w:pStyle w:val="TableText"/>
              <w:keepLines w:val="0"/>
            </w:pPr>
          </w:p>
        </w:tc>
        <w:tc>
          <w:tcPr>
            <w:tcW w:w="1873" w:type="dxa"/>
            <w:gridSpan w:val="3"/>
          </w:tcPr>
          <w:p w14:paraId="43B40291" w14:textId="77777777" w:rsidR="00BF48F6" w:rsidRPr="00BA4337" w:rsidRDefault="00BF48F6" w:rsidP="00A47F96">
            <w:pPr>
              <w:pStyle w:val="TableInnerSideHeading"/>
              <w:ind w:right="0"/>
            </w:pPr>
            <w:r w:rsidRPr="00BA4337">
              <w:rPr>
                <w:rtl/>
              </w:rPr>
              <w:t>"מימוש מרשם בכל בית מרקחת</w:t>
            </w:r>
          </w:p>
        </w:tc>
        <w:tc>
          <w:tcPr>
            <w:tcW w:w="624" w:type="dxa"/>
          </w:tcPr>
          <w:p w14:paraId="6BD347D8" w14:textId="77777777" w:rsidR="00BF48F6" w:rsidRDefault="00BF48F6" w:rsidP="00A47F96">
            <w:pPr>
              <w:pStyle w:val="TableText"/>
            </w:pPr>
            <w:r>
              <w:rPr>
                <w:rtl/>
              </w:rPr>
              <w:t>21ד.</w:t>
            </w:r>
          </w:p>
        </w:tc>
        <w:tc>
          <w:tcPr>
            <w:tcW w:w="4650" w:type="dxa"/>
            <w:gridSpan w:val="3"/>
          </w:tcPr>
          <w:p w14:paraId="23781B23" w14:textId="77777777" w:rsidR="00BF48F6" w:rsidRDefault="00BF48F6" w:rsidP="00A47F96">
            <w:pPr>
              <w:pStyle w:val="TableBlock"/>
            </w:pPr>
            <w:r>
              <w:rPr>
                <w:rtl/>
              </w:rPr>
              <w:t>(א)</w:t>
            </w:r>
            <w:r>
              <w:rPr>
                <w:rtl/>
              </w:rPr>
              <w:tab/>
            </w:r>
            <w:r w:rsidRPr="006752CD">
              <w:rPr>
                <w:rtl/>
              </w:rPr>
              <w:t>קופת חולים תאפשר למי שהי</w:t>
            </w:r>
            <w:r>
              <w:rPr>
                <w:rtl/>
              </w:rPr>
              <w:t>א אחראית כלפיו כאמור בסעיף 3(ג) לממש מרשם בכל בית מרקחת.</w:t>
            </w:r>
          </w:p>
        </w:tc>
      </w:tr>
      <w:tr w:rsidR="00BF48F6" w14:paraId="1BBB9F1A" w14:textId="77777777" w:rsidTr="00BF48F6">
        <w:trPr>
          <w:cantSplit/>
        </w:trPr>
        <w:tc>
          <w:tcPr>
            <w:tcW w:w="1870" w:type="dxa"/>
          </w:tcPr>
          <w:p w14:paraId="47EBE201" w14:textId="77777777" w:rsidR="00BF48F6" w:rsidRDefault="00BF48F6" w:rsidP="00A47F96">
            <w:pPr>
              <w:pStyle w:val="TableSideHeading"/>
            </w:pPr>
          </w:p>
        </w:tc>
        <w:tc>
          <w:tcPr>
            <w:tcW w:w="624" w:type="dxa"/>
          </w:tcPr>
          <w:p w14:paraId="3F4A0E84" w14:textId="77777777" w:rsidR="00BF48F6" w:rsidRDefault="00BF48F6" w:rsidP="00A47F96">
            <w:pPr>
              <w:pStyle w:val="TableText"/>
            </w:pPr>
          </w:p>
        </w:tc>
        <w:tc>
          <w:tcPr>
            <w:tcW w:w="624" w:type="dxa"/>
          </w:tcPr>
          <w:p w14:paraId="171BA2BD" w14:textId="77777777" w:rsidR="00BF48F6" w:rsidRDefault="00BF48F6" w:rsidP="00A47F96">
            <w:pPr>
              <w:pStyle w:val="TableText"/>
            </w:pPr>
          </w:p>
        </w:tc>
        <w:tc>
          <w:tcPr>
            <w:tcW w:w="624" w:type="dxa"/>
          </w:tcPr>
          <w:p w14:paraId="1A3EFCC3" w14:textId="77777777" w:rsidR="00BF48F6" w:rsidRDefault="00BF48F6" w:rsidP="00A47F96">
            <w:pPr>
              <w:pStyle w:val="TableText"/>
            </w:pPr>
          </w:p>
        </w:tc>
        <w:tc>
          <w:tcPr>
            <w:tcW w:w="625" w:type="dxa"/>
          </w:tcPr>
          <w:p w14:paraId="7D737EFB" w14:textId="77777777" w:rsidR="00BF48F6" w:rsidRDefault="00BF48F6" w:rsidP="00A47F96">
            <w:pPr>
              <w:pStyle w:val="TableText"/>
            </w:pPr>
          </w:p>
        </w:tc>
        <w:tc>
          <w:tcPr>
            <w:tcW w:w="624" w:type="dxa"/>
          </w:tcPr>
          <w:p w14:paraId="52DB6196" w14:textId="77777777" w:rsidR="00BF48F6" w:rsidRDefault="00BF48F6" w:rsidP="00A47F96">
            <w:pPr>
              <w:pStyle w:val="TableText"/>
            </w:pPr>
          </w:p>
        </w:tc>
        <w:tc>
          <w:tcPr>
            <w:tcW w:w="4650" w:type="dxa"/>
            <w:gridSpan w:val="3"/>
          </w:tcPr>
          <w:p w14:paraId="453BA1D1" w14:textId="114B2E55" w:rsidR="00BF48F6" w:rsidRDefault="00BF48F6" w:rsidP="00C63C80">
            <w:pPr>
              <w:pStyle w:val="TableBlock"/>
            </w:pPr>
            <w:r>
              <w:rPr>
                <w:rtl/>
              </w:rPr>
              <w:t>(ב)</w:t>
            </w:r>
            <w:r>
              <w:rPr>
                <w:rtl/>
              </w:rPr>
              <w:tab/>
            </w:r>
            <w:r w:rsidRPr="00C259D6">
              <w:rPr>
                <w:rtl/>
              </w:rPr>
              <w:t>פנה חבר קופת חולים לבית מרקחת שאינ</w:t>
            </w:r>
            <w:r>
              <w:rPr>
                <w:rtl/>
              </w:rPr>
              <w:t>ו</w:t>
            </w:r>
            <w:r w:rsidRPr="00C259D6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בבעלות קופת </w:t>
            </w:r>
            <w:r w:rsidR="00812782">
              <w:rPr>
                <w:rFonts w:hint="cs"/>
                <w:rtl/>
              </w:rPr>
              <w:t>ה</w:t>
            </w:r>
            <w:r>
              <w:rPr>
                <w:rFonts w:hint="cs"/>
                <w:rtl/>
              </w:rPr>
              <w:t xml:space="preserve">חולים </w:t>
            </w:r>
            <w:r w:rsidR="00BB2E7B">
              <w:rPr>
                <w:rFonts w:hint="cs"/>
                <w:rtl/>
              </w:rPr>
              <w:t>ש</w:t>
            </w:r>
            <w:r>
              <w:rPr>
                <w:rFonts w:hint="cs"/>
                <w:rtl/>
              </w:rPr>
              <w:t xml:space="preserve">בה הוא חבר </w:t>
            </w:r>
            <w:r w:rsidR="00C63C80">
              <w:rPr>
                <w:rFonts w:hint="cs"/>
                <w:rtl/>
              </w:rPr>
              <w:t>ואין לקופת החולים הסדר התקשרות עמו</w:t>
            </w:r>
            <w:r w:rsidRPr="00C259D6">
              <w:rPr>
                <w:rtl/>
              </w:rPr>
              <w:t xml:space="preserve">, </w:t>
            </w:r>
            <w:r w:rsidRPr="0051598C">
              <w:rPr>
                <w:rtl/>
              </w:rPr>
              <w:t xml:space="preserve">ישלם החבר </w:t>
            </w:r>
            <w:r w:rsidRPr="0051598C">
              <w:rPr>
                <w:rFonts w:hint="cs"/>
                <w:rtl/>
              </w:rPr>
              <w:t xml:space="preserve">עבור תכשיר המרשם </w:t>
            </w:r>
            <w:r w:rsidRPr="0051598C">
              <w:rPr>
                <w:rtl/>
              </w:rPr>
              <w:t xml:space="preserve">את מחיר </w:t>
            </w:r>
            <w:r w:rsidRPr="0051598C">
              <w:rPr>
                <w:rFonts w:hint="cs"/>
                <w:rtl/>
              </w:rPr>
              <w:t>ההשתתפות העצמית בהתאם להוראות החוק.</w:t>
            </w:r>
          </w:p>
        </w:tc>
      </w:tr>
      <w:tr w:rsidR="00BF48F6" w14:paraId="56C97BC5" w14:textId="77777777" w:rsidTr="00BF48F6">
        <w:trPr>
          <w:cantSplit/>
        </w:trPr>
        <w:tc>
          <w:tcPr>
            <w:tcW w:w="1870" w:type="dxa"/>
          </w:tcPr>
          <w:p w14:paraId="07D36990" w14:textId="77777777" w:rsidR="00BF48F6" w:rsidRDefault="00BF48F6" w:rsidP="00A47F96">
            <w:pPr>
              <w:pStyle w:val="TableSideHeading"/>
            </w:pPr>
          </w:p>
        </w:tc>
        <w:tc>
          <w:tcPr>
            <w:tcW w:w="624" w:type="dxa"/>
          </w:tcPr>
          <w:p w14:paraId="548566DE" w14:textId="77777777" w:rsidR="00BF48F6" w:rsidRDefault="00BF48F6" w:rsidP="00A47F96">
            <w:pPr>
              <w:pStyle w:val="TableText"/>
            </w:pPr>
          </w:p>
        </w:tc>
        <w:tc>
          <w:tcPr>
            <w:tcW w:w="624" w:type="dxa"/>
          </w:tcPr>
          <w:p w14:paraId="1CC83D46" w14:textId="77777777" w:rsidR="00BF48F6" w:rsidRDefault="00BF48F6" w:rsidP="00A47F96">
            <w:pPr>
              <w:pStyle w:val="TableText"/>
            </w:pPr>
          </w:p>
        </w:tc>
        <w:tc>
          <w:tcPr>
            <w:tcW w:w="624" w:type="dxa"/>
          </w:tcPr>
          <w:p w14:paraId="48E36C1D" w14:textId="77777777" w:rsidR="00BF48F6" w:rsidRDefault="00BF48F6" w:rsidP="00A47F96">
            <w:pPr>
              <w:pStyle w:val="TableText"/>
            </w:pPr>
          </w:p>
        </w:tc>
        <w:tc>
          <w:tcPr>
            <w:tcW w:w="625" w:type="dxa"/>
          </w:tcPr>
          <w:p w14:paraId="57B76B87" w14:textId="77777777" w:rsidR="00BF48F6" w:rsidRDefault="00BF48F6" w:rsidP="00A47F96">
            <w:pPr>
              <w:pStyle w:val="TableText"/>
            </w:pPr>
          </w:p>
        </w:tc>
        <w:tc>
          <w:tcPr>
            <w:tcW w:w="624" w:type="dxa"/>
          </w:tcPr>
          <w:p w14:paraId="32A4EF76" w14:textId="77777777" w:rsidR="00BF48F6" w:rsidRDefault="00BF48F6" w:rsidP="00A47F96">
            <w:pPr>
              <w:pStyle w:val="TableText"/>
            </w:pPr>
          </w:p>
        </w:tc>
        <w:tc>
          <w:tcPr>
            <w:tcW w:w="4650" w:type="dxa"/>
            <w:gridSpan w:val="3"/>
          </w:tcPr>
          <w:p w14:paraId="7C835E66" w14:textId="77777777" w:rsidR="00BF48F6" w:rsidRDefault="00BF48F6" w:rsidP="00A47F96">
            <w:pPr>
              <w:pStyle w:val="TableBlock"/>
              <w:rPr>
                <w:rtl/>
              </w:rPr>
            </w:pPr>
            <w:r>
              <w:rPr>
                <w:rtl/>
              </w:rPr>
              <w:t>(ג)</w:t>
            </w:r>
            <w:r>
              <w:rPr>
                <w:rtl/>
              </w:rPr>
              <w:tab/>
              <w:t>לעניין סעיף זה –</w:t>
            </w:r>
          </w:p>
        </w:tc>
      </w:tr>
      <w:tr w:rsidR="00BF48F6" w:rsidRPr="008D439D" w14:paraId="25E58689" w14:textId="77777777" w:rsidTr="00BF48F6">
        <w:trPr>
          <w:cantSplit/>
        </w:trPr>
        <w:tc>
          <w:tcPr>
            <w:tcW w:w="1870" w:type="dxa"/>
          </w:tcPr>
          <w:p w14:paraId="0A9E1334" w14:textId="77777777" w:rsidR="00BF48F6" w:rsidRDefault="00BF48F6" w:rsidP="00A47F96">
            <w:pPr>
              <w:pStyle w:val="TableSideHeading"/>
            </w:pPr>
          </w:p>
        </w:tc>
        <w:tc>
          <w:tcPr>
            <w:tcW w:w="624" w:type="dxa"/>
          </w:tcPr>
          <w:p w14:paraId="6D53752C" w14:textId="77777777" w:rsidR="00BF48F6" w:rsidRDefault="00BF48F6" w:rsidP="00A47F96">
            <w:pPr>
              <w:pStyle w:val="TableText"/>
            </w:pPr>
          </w:p>
        </w:tc>
        <w:tc>
          <w:tcPr>
            <w:tcW w:w="624" w:type="dxa"/>
          </w:tcPr>
          <w:p w14:paraId="35C31D89" w14:textId="77777777" w:rsidR="00BF48F6" w:rsidRDefault="00BF48F6" w:rsidP="00A47F96">
            <w:pPr>
              <w:pStyle w:val="TableText"/>
            </w:pPr>
          </w:p>
        </w:tc>
        <w:tc>
          <w:tcPr>
            <w:tcW w:w="624" w:type="dxa"/>
          </w:tcPr>
          <w:p w14:paraId="1950D0B0" w14:textId="77777777" w:rsidR="00BF48F6" w:rsidRDefault="00BF48F6" w:rsidP="00A47F96">
            <w:pPr>
              <w:pStyle w:val="TableText"/>
            </w:pPr>
          </w:p>
        </w:tc>
        <w:tc>
          <w:tcPr>
            <w:tcW w:w="625" w:type="dxa"/>
          </w:tcPr>
          <w:p w14:paraId="4C62A117" w14:textId="77777777" w:rsidR="00BF48F6" w:rsidRDefault="00BF48F6" w:rsidP="00A47F96">
            <w:pPr>
              <w:pStyle w:val="TableText"/>
            </w:pPr>
          </w:p>
        </w:tc>
        <w:tc>
          <w:tcPr>
            <w:tcW w:w="624" w:type="dxa"/>
          </w:tcPr>
          <w:p w14:paraId="7ECACF2F" w14:textId="77777777" w:rsidR="00BF48F6" w:rsidRDefault="00BF48F6" w:rsidP="00A47F96">
            <w:pPr>
              <w:pStyle w:val="TableText"/>
            </w:pPr>
          </w:p>
        </w:tc>
        <w:tc>
          <w:tcPr>
            <w:tcW w:w="4650" w:type="dxa"/>
            <w:gridSpan w:val="3"/>
          </w:tcPr>
          <w:p w14:paraId="457B4A7D" w14:textId="77777777" w:rsidR="00BF48F6" w:rsidRPr="008D439D" w:rsidRDefault="00BF48F6" w:rsidP="00A47F96">
            <w:pPr>
              <w:pStyle w:val="TableBlockOutdent"/>
              <w:rPr>
                <w:rtl/>
              </w:rPr>
            </w:pPr>
            <w:r>
              <w:rPr>
                <w:rtl/>
              </w:rPr>
              <w:t xml:space="preserve">"בית מרקחת" ו"תכשיר מרשם" – </w:t>
            </w:r>
            <w:r>
              <w:rPr>
                <w:rtl/>
              </w:rPr>
              <w:softHyphen/>
            </w:r>
            <w:r w:rsidRPr="008D439D">
              <w:rPr>
                <w:rtl/>
              </w:rPr>
              <w:t>כהגדרת</w:t>
            </w:r>
            <w:r>
              <w:rPr>
                <w:rtl/>
              </w:rPr>
              <w:t>ם</w:t>
            </w:r>
            <w:r w:rsidRPr="008D439D">
              <w:rPr>
                <w:rtl/>
              </w:rPr>
              <w:t xml:space="preserve"> בסעיף 21ג</w:t>
            </w:r>
            <w:r>
              <w:rPr>
                <w:rtl/>
              </w:rPr>
              <w:t>;</w:t>
            </w:r>
          </w:p>
        </w:tc>
      </w:tr>
      <w:tr w:rsidR="00BF48F6" w:rsidRPr="008D439D" w14:paraId="47A62556" w14:textId="77777777" w:rsidTr="00BF48F6">
        <w:trPr>
          <w:cantSplit/>
        </w:trPr>
        <w:tc>
          <w:tcPr>
            <w:tcW w:w="1870" w:type="dxa"/>
          </w:tcPr>
          <w:p w14:paraId="71670989" w14:textId="77777777" w:rsidR="00BF48F6" w:rsidRDefault="00BF48F6" w:rsidP="00A47F96">
            <w:pPr>
              <w:pStyle w:val="TableSideHeading"/>
            </w:pPr>
          </w:p>
        </w:tc>
        <w:tc>
          <w:tcPr>
            <w:tcW w:w="624" w:type="dxa"/>
          </w:tcPr>
          <w:p w14:paraId="18E5CFD2" w14:textId="77777777" w:rsidR="00BF48F6" w:rsidRDefault="00BF48F6" w:rsidP="00A47F96">
            <w:pPr>
              <w:pStyle w:val="TableText"/>
            </w:pPr>
          </w:p>
        </w:tc>
        <w:tc>
          <w:tcPr>
            <w:tcW w:w="624" w:type="dxa"/>
          </w:tcPr>
          <w:p w14:paraId="4362794A" w14:textId="77777777" w:rsidR="00BF48F6" w:rsidRDefault="00BF48F6" w:rsidP="00A47F96">
            <w:pPr>
              <w:pStyle w:val="TableText"/>
            </w:pPr>
          </w:p>
        </w:tc>
        <w:tc>
          <w:tcPr>
            <w:tcW w:w="624" w:type="dxa"/>
          </w:tcPr>
          <w:p w14:paraId="33D3E918" w14:textId="77777777" w:rsidR="00BF48F6" w:rsidRDefault="00BF48F6" w:rsidP="00A47F96">
            <w:pPr>
              <w:pStyle w:val="TableText"/>
            </w:pPr>
          </w:p>
        </w:tc>
        <w:tc>
          <w:tcPr>
            <w:tcW w:w="625" w:type="dxa"/>
          </w:tcPr>
          <w:p w14:paraId="63A2160F" w14:textId="77777777" w:rsidR="00BF48F6" w:rsidRDefault="00BF48F6" w:rsidP="00A47F96">
            <w:pPr>
              <w:pStyle w:val="TableText"/>
            </w:pPr>
          </w:p>
        </w:tc>
        <w:tc>
          <w:tcPr>
            <w:tcW w:w="624" w:type="dxa"/>
          </w:tcPr>
          <w:p w14:paraId="5C351D35" w14:textId="77777777" w:rsidR="00BF48F6" w:rsidRPr="0051598C" w:rsidRDefault="00BF48F6" w:rsidP="00A47F96">
            <w:pPr>
              <w:pStyle w:val="TableText"/>
              <w:rPr>
                <w:highlight w:val="yellow"/>
              </w:rPr>
            </w:pPr>
          </w:p>
        </w:tc>
        <w:tc>
          <w:tcPr>
            <w:tcW w:w="4650" w:type="dxa"/>
            <w:gridSpan w:val="3"/>
          </w:tcPr>
          <w:p w14:paraId="7CAE5956" w14:textId="59ED6B46" w:rsidR="00BF48F6" w:rsidRPr="0051598C" w:rsidRDefault="00BF48F6" w:rsidP="00D61DFF">
            <w:pPr>
              <w:pStyle w:val="TableBlockOutdent"/>
              <w:rPr>
                <w:rtl/>
              </w:rPr>
            </w:pPr>
            <w:r w:rsidRPr="0051598C">
              <w:rPr>
                <w:rtl/>
              </w:rPr>
              <w:t xml:space="preserve">"מרשם" – </w:t>
            </w:r>
            <w:r w:rsidR="00D61DFF" w:rsidRPr="00D61DFF">
              <w:rPr>
                <w:rFonts w:ascii="Hadasa Roso SL" w:eastAsia="MS Mincho" w:hAnsi="Hadasa Roso SL" w:cs="Hadasa Roso SL" w:hint="cs"/>
                <w:snapToGrid/>
                <w:spacing w:val="1"/>
                <w:sz w:val="17"/>
                <w:szCs w:val="17"/>
                <w:rtl/>
              </w:rPr>
              <w:t xml:space="preserve"> </w:t>
            </w:r>
            <w:r w:rsidR="00D61DFF" w:rsidRPr="00D61DFF">
              <w:rPr>
                <w:rFonts w:hint="cs"/>
                <w:rtl/>
              </w:rPr>
              <w:t>הוראה בכתב חתומה בידי רופא לספק לאדם תכשיר מרשם, לרבות מרשם שהוא מסר אלקטרוני החתום בחתימה אלקטרונית מאושרת כהגדרתה בחוק חתימה אלקטרונית, התשס"א</w:t>
            </w:r>
            <w:r w:rsidR="00D61DFF" w:rsidRPr="00D61DFF">
              <w:rPr>
                <w:rtl/>
              </w:rPr>
              <w:t>–</w:t>
            </w:r>
            <w:r w:rsidR="00D61DFF" w:rsidRPr="00D61DFF">
              <w:rPr>
                <w:rFonts w:hint="cs"/>
                <w:rtl/>
              </w:rPr>
              <w:t>2001</w:t>
            </w:r>
            <w:r w:rsidR="00D61DFF" w:rsidRPr="00D61DFF">
              <w:rPr>
                <w:vertAlign w:val="superscript"/>
                <w:rtl/>
              </w:rPr>
              <w:footnoteReference w:id="3"/>
            </w:r>
            <w:r w:rsidR="00D61DFF" w:rsidRPr="00D61DFF">
              <w:rPr>
                <w:rFonts w:hint="cs"/>
                <w:rtl/>
              </w:rPr>
              <w:t>.</w:t>
            </w:r>
          </w:p>
        </w:tc>
      </w:tr>
      <w:tr w:rsidR="00BF48F6" w14:paraId="4A79C3FE" w14:textId="77777777" w:rsidTr="00BF48F6">
        <w:trPr>
          <w:cantSplit/>
        </w:trPr>
        <w:tc>
          <w:tcPr>
            <w:tcW w:w="1870" w:type="dxa"/>
          </w:tcPr>
          <w:p w14:paraId="4BF34010" w14:textId="77777777" w:rsidR="00BF48F6" w:rsidRDefault="00BF48F6" w:rsidP="00A47F96">
            <w:pPr>
              <w:pStyle w:val="TableSideHeading"/>
              <w:keepLines w:val="0"/>
            </w:pPr>
          </w:p>
        </w:tc>
        <w:tc>
          <w:tcPr>
            <w:tcW w:w="624" w:type="dxa"/>
          </w:tcPr>
          <w:p w14:paraId="4DED8E43" w14:textId="77777777" w:rsidR="00BF48F6" w:rsidRDefault="00BF48F6" w:rsidP="00A47F96">
            <w:pPr>
              <w:pStyle w:val="TableText"/>
              <w:keepLines w:val="0"/>
            </w:pPr>
          </w:p>
        </w:tc>
        <w:tc>
          <w:tcPr>
            <w:tcW w:w="1873" w:type="dxa"/>
            <w:gridSpan w:val="3"/>
          </w:tcPr>
          <w:p w14:paraId="2D77821F" w14:textId="77777777" w:rsidR="00BF48F6" w:rsidRDefault="00BF48F6" w:rsidP="00A47F96">
            <w:pPr>
              <w:pStyle w:val="TableInnerSideHeading"/>
              <w:rPr>
                <w:rtl/>
              </w:rPr>
            </w:pPr>
          </w:p>
        </w:tc>
        <w:tc>
          <w:tcPr>
            <w:tcW w:w="624" w:type="dxa"/>
          </w:tcPr>
          <w:p w14:paraId="5CC7BAAC" w14:textId="77777777" w:rsidR="00BF48F6" w:rsidRPr="0051598C" w:rsidRDefault="00BF48F6" w:rsidP="00A47F96">
            <w:pPr>
              <w:pStyle w:val="TableText"/>
              <w:rPr>
                <w:highlight w:val="yellow"/>
                <w:rtl/>
              </w:rPr>
            </w:pPr>
          </w:p>
        </w:tc>
        <w:tc>
          <w:tcPr>
            <w:tcW w:w="4650" w:type="dxa"/>
            <w:gridSpan w:val="3"/>
          </w:tcPr>
          <w:p w14:paraId="75514966" w14:textId="1CD37BB0" w:rsidR="00BF48F6" w:rsidRPr="0051598C" w:rsidRDefault="00BF48F6" w:rsidP="00867F2C">
            <w:pPr>
              <w:pStyle w:val="TableBlock"/>
              <w:rPr>
                <w:rtl/>
              </w:rPr>
            </w:pPr>
            <w:r w:rsidRPr="0051598C">
              <w:rPr>
                <w:rFonts w:hint="cs"/>
                <w:rtl/>
              </w:rPr>
              <w:t>(ד)      בית המרקחת יהיה זכאי להשלמת התמורה מעבר להשתתפות העצמית שהתקבלה מהמטופל ב</w:t>
            </w:r>
            <w:r w:rsidR="00AE2274">
              <w:rPr>
                <w:rFonts w:hint="cs"/>
                <w:rtl/>
              </w:rPr>
              <w:t xml:space="preserve">עד </w:t>
            </w:r>
            <w:r w:rsidR="00867F2C">
              <w:rPr>
                <w:rFonts w:hint="cs"/>
                <w:rtl/>
              </w:rPr>
              <w:t>תכשיר המרשם</w:t>
            </w:r>
            <w:r w:rsidRPr="0051598C">
              <w:rPr>
                <w:rFonts w:hint="cs"/>
                <w:rtl/>
              </w:rPr>
              <w:t xml:space="preserve">, על פי </w:t>
            </w:r>
            <w:r w:rsidR="00680A19">
              <w:rPr>
                <w:rFonts w:hint="cs"/>
                <w:rtl/>
              </w:rPr>
              <w:t>המחיר המרבי לתכשיר המרשם</w:t>
            </w:r>
            <w:r w:rsidR="00AE2274">
              <w:rPr>
                <w:rFonts w:hint="cs"/>
                <w:rtl/>
              </w:rPr>
              <w:t xml:space="preserve"> </w:t>
            </w:r>
            <w:r w:rsidR="00680A19">
              <w:rPr>
                <w:rFonts w:hint="cs"/>
                <w:rtl/>
              </w:rPr>
              <w:t xml:space="preserve">כפי שהוא מתעדכן מעת לעת, שנקבע מכוח חוק </w:t>
            </w:r>
            <w:r w:rsidR="00AE2274">
              <w:rPr>
                <w:rFonts w:hint="cs"/>
                <w:rtl/>
              </w:rPr>
              <w:t>פיקוח על מחירי מצרכים ושירותים, התשנ"ו</w:t>
            </w:r>
            <w:r w:rsidR="00680A19">
              <w:rPr>
                <w:rFonts w:hint="eastAsia"/>
                <w:rtl/>
              </w:rPr>
              <w:t>–</w:t>
            </w:r>
            <w:r w:rsidR="00AE2274">
              <w:rPr>
                <w:rFonts w:hint="cs"/>
                <w:rtl/>
              </w:rPr>
              <w:t>1996</w:t>
            </w:r>
            <w:r w:rsidR="00680A19">
              <w:rPr>
                <w:rStyle w:val="a6"/>
                <w:rtl/>
              </w:rPr>
              <w:footnoteReference w:id="4"/>
            </w:r>
            <w:r w:rsidR="00680A19">
              <w:rPr>
                <w:rFonts w:hint="cs"/>
                <w:rtl/>
              </w:rPr>
              <w:t>.</w:t>
            </w:r>
            <w:r w:rsidR="00AE2274">
              <w:rPr>
                <w:rFonts w:hint="cs"/>
                <w:rtl/>
              </w:rPr>
              <w:t xml:space="preserve"> </w:t>
            </w:r>
          </w:p>
        </w:tc>
      </w:tr>
      <w:tr w:rsidR="00BF48F6" w14:paraId="4658D463" w14:textId="77777777" w:rsidTr="00BF48F6">
        <w:trPr>
          <w:cantSplit/>
        </w:trPr>
        <w:tc>
          <w:tcPr>
            <w:tcW w:w="1870" w:type="dxa"/>
          </w:tcPr>
          <w:p w14:paraId="0A5A6CAB" w14:textId="77777777" w:rsidR="00BF48F6" w:rsidRPr="00680A19" w:rsidRDefault="00BF48F6" w:rsidP="00A47F96">
            <w:pPr>
              <w:pStyle w:val="TableSideHeading"/>
              <w:keepLines w:val="0"/>
            </w:pPr>
          </w:p>
        </w:tc>
        <w:tc>
          <w:tcPr>
            <w:tcW w:w="624" w:type="dxa"/>
          </w:tcPr>
          <w:p w14:paraId="4A078B7A" w14:textId="77777777" w:rsidR="00BF48F6" w:rsidRDefault="00BF48F6" w:rsidP="00A47F96">
            <w:pPr>
              <w:pStyle w:val="TableText"/>
              <w:keepLines w:val="0"/>
            </w:pPr>
          </w:p>
        </w:tc>
        <w:tc>
          <w:tcPr>
            <w:tcW w:w="1873" w:type="dxa"/>
            <w:gridSpan w:val="3"/>
          </w:tcPr>
          <w:p w14:paraId="1E7E995F" w14:textId="77777777" w:rsidR="00BF48F6" w:rsidRDefault="00BF48F6" w:rsidP="00A47F96">
            <w:pPr>
              <w:pStyle w:val="TableInnerSideHeading"/>
            </w:pPr>
            <w:r>
              <w:rPr>
                <w:rtl/>
              </w:rPr>
              <w:t>חיבור בית מרקחת למערכות הממוחשבות של קופות החולים</w:t>
            </w:r>
          </w:p>
        </w:tc>
        <w:tc>
          <w:tcPr>
            <w:tcW w:w="624" w:type="dxa"/>
          </w:tcPr>
          <w:p w14:paraId="79CE8103" w14:textId="77777777" w:rsidR="00BF48F6" w:rsidRDefault="00BF48F6" w:rsidP="00A47F96">
            <w:pPr>
              <w:pStyle w:val="TableText"/>
            </w:pPr>
            <w:r>
              <w:rPr>
                <w:rtl/>
              </w:rPr>
              <w:t>21ה.</w:t>
            </w:r>
          </w:p>
        </w:tc>
        <w:tc>
          <w:tcPr>
            <w:tcW w:w="4650" w:type="dxa"/>
            <w:gridSpan w:val="3"/>
          </w:tcPr>
          <w:p w14:paraId="02385671" w14:textId="77777777" w:rsidR="00BF48F6" w:rsidRDefault="00BF48F6" w:rsidP="00A47F96">
            <w:pPr>
              <w:pStyle w:val="TableBlock"/>
            </w:pPr>
            <w:r>
              <w:rPr>
                <w:rtl/>
              </w:rPr>
              <w:t>(א)</w:t>
            </w:r>
            <w:r>
              <w:rPr>
                <w:rtl/>
              </w:rPr>
              <w:tab/>
            </w:r>
            <w:r w:rsidRPr="00A0282E">
              <w:rPr>
                <w:rtl/>
              </w:rPr>
              <w:t xml:space="preserve">קופת חולים תאפשר לכל בית </w:t>
            </w:r>
            <w:r>
              <w:rPr>
                <w:rtl/>
              </w:rPr>
              <w:t xml:space="preserve">מרקחת להתחבר למערכת הממוחשבת שלה (להלן –  המערכת הממוחשבת) </w:t>
            </w:r>
            <w:r w:rsidRPr="00A0282E">
              <w:rPr>
                <w:rtl/>
              </w:rPr>
              <w:t>באופן שיאפשר לכל בית מרקחת לנפק תכשיר מרשם לפי מרשם שרשם רופא קופת החולים לחבר, לרבות לפי מרשם שהוא מסר אלקטרוני.</w:t>
            </w:r>
          </w:p>
        </w:tc>
      </w:tr>
      <w:tr w:rsidR="00BF48F6" w14:paraId="4069E57F" w14:textId="77777777" w:rsidTr="00BF48F6">
        <w:trPr>
          <w:cantSplit/>
        </w:trPr>
        <w:tc>
          <w:tcPr>
            <w:tcW w:w="1870" w:type="dxa"/>
          </w:tcPr>
          <w:p w14:paraId="58D8C1AB" w14:textId="77777777" w:rsidR="00BF48F6" w:rsidRDefault="00BF48F6" w:rsidP="00A47F96">
            <w:pPr>
              <w:pStyle w:val="TableSideHeading"/>
            </w:pPr>
          </w:p>
        </w:tc>
        <w:tc>
          <w:tcPr>
            <w:tcW w:w="624" w:type="dxa"/>
          </w:tcPr>
          <w:p w14:paraId="0E8A9697" w14:textId="77777777" w:rsidR="00BF48F6" w:rsidRDefault="00BF48F6" w:rsidP="00A47F96">
            <w:pPr>
              <w:pStyle w:val="TableText"/>
            </w:pPr>
          </w:p>
        </w:tc>
        <w:tc>
          <w:tcPr>
            <w:tcW w:w="624" w:type="dxa"/>
          </w:tcPr>
          <w:p w14:paraId="75BFCDAF" w14:textId="77777777" w:rsidR="00BF48F6" w:rsidRDefault="00BF48F6" w:rsidP="00A47F96">
            <w:pPr>
              <w:pStyle w:val="TableText"/>
            </w:pPr>
          </w:p>
        </w:tc>
        <w:tc>
          <w:tcPr>
            <w:tcW w:w="624" w:type="dxa"/>
          </w:tcPr>
          <w:p w14:paraId="5A42A091" w14:textId="77777777" w:rsidR="00BF48F6" w:rsidRDefault="00BF48F6" w:rsidP="00A47F96">
            <w:pPr>
              <w:pStyle w:val="TableText"/>
            </w:pPr>
          </w:p>
        </w:tc>
        <w:tc>
          <w:tcPr>
            <w:tcW w:w="625" w:type="dxa"/>
          </w:tcPr>
          <w:p w14:paraId="4916CD64" w14:textId="77777777" w:rsidR="00BF48F6" w:rsidRDefault="00BF48F6" w:rsidP="00A47F96">
            <w:pPr>
              <w:pStyle w:val="TableText"/>
            </w:pPr>
          </w:p>
        </w:tc>
        <w:tc>
          <w:tcPr>
            <w:tcW w:w="624" w:type="dxa"/>
          </w:tcPr>
          <w:p w14:paraId="0AD252B1" w14:textId="77777777" w:rsidR="00BF48F6" w:rsidRDefault="00BF48F6" w:rsidP="00A47F96">
            <w:pPr>
              <w:pStyle w:val="TableText"/>
            </w:pPr>
          </w:p>
        </w:tc>
        <w:tc>
          <w:tcPr>
            <w:tcW w:w="4650" w:type="dxa"/>
            <w:gridSpan w:val="3"/>
          </w:tcPr>
          <w:p w14:paraId="41BB1037" w14:textId="77777777" w:rsidR="00BF48F6" w:rsidRDefault="00BF48F6" w:rsidP="00A47F96">
            <w:pPr>
              <w:pStyle w:val="TableBlock"/>
              <w:rPr>
                <w:rtl/>
              </w:rPr>
            </w:pPr>
            <w:r>
              <w:rPr>
                <w:rtl/>
              </w:rPr>
              <w:t>(ב)</w:t>
            </w:r>
            <w:r>
              <w:rPr>
                <w:rtl/>
              </w:rPr>
              <w:tab/>
            </w:r>
            <w:r w:rsidRPr="00DC0B2F">
              <w:rPr>
                <w:rtl/>
              </w:rPr>
              <w:t>בית המרקחת יישא בעלות ההתחברות למערכת הממוחשבת של קופת החולים.</w:t>
            </w:r>
          </w:p>
        </w:tc>
      </w:tr>
      <w:tr w:rsidR="00BF48F6" w14:paraId="5F00EBC3" w14:textId="77777777" w:rsidTr="00BF48F6">
        <w:trPr>
          <w:cantSplit/>
        </w:trPr>
        <w:tc>
          <w:tcPr>
            <w:tcW w:w="1870" w:type="dxa"/>
          </w:tcPr>
          <w:p w14:paraId="399618F9" w14:textId="77777777" w:rsidR="00BF48F6" w:rsidRDefault="00BF48F6" w:rsidP="00A47F96">
            <w:pPr>
              <w:pStyle w:val="TableSideHeading"/>
            </w:pPr>
          </w:p>
        </w:tc>
        <w:tc>
          <w:tcPr>
            <w:tcW w:w="624" w:type="dxa"/>
          </w:tcPr>
          <w:p w14:paraId="4E48C825" w14:textId="77777777" w:rsidR="00BF48F6" w:rsidRDefault="00BF48F6" w:rsidP="00A47F96">
            <w:pPr>
              <w:pStyle w:val="TableText"/>
            </w:pPr>
          </w:p>
        </w:tc>
        <w:tc>
          <w:tcPr>
            <w:tcW w:w="624" w:type="dxa"/>
          </w:tcPr>
          <w:p w14:paraId="59331C6A" w14:textId="77777777" w:rsidR="00BF48F6" w:rsidRDefault="00BF48F6" w:rsidP="00A47F96">
            <w:pPr>
              <w:pStyle w:val="TableText"/>
            </w:pPr>
          </w:p>
        </w:tc>
        <w:tc>
          <w:tcPr>
            <w:tcW w:w="624" w:type="dxa"/>
          </w:tcPr>
          <w:p w14:paraId="18D5FAB5" w14:textId="77777777" w:rsidR="00BF48F6" w:rsidRDefault="00BF48F6" w:rsidP="00A47F96">
            <w:pPr>
              <w:pStyle w:val="TableText"/>
            </w:pPr>
          </w:p>
        </w:tc>
        <w:tc>
          <w:tcPr>
            <w:tcW w:w="625" w:type="dxa"/>
          </w:tcPr>
          <w:p w14:paraId="63FFB051" w14:textId="77777777" w:rsidR="00BF48F6" w:rsidRDefault="00BF48F6" w:rsidP="00A47F96">
            <w:pPr>
              <w:pStyle w:val="TableText"/>
            </w:pPr>
          </w:p>
        </w:tc>
        <w:tc>
          <w:tcPr>
            <w:tcW w:w="624" w:type="dxa"/>
          </w:tcPr>
          <w:p w14:paraId="631C06F7" w14:textId="77777777" w:rsidR="00BF48F6" w:rsidRDefault="00BF48F6" w:rsidP="00A47F96">
            <w:pPr>
              <w:pStyle w:val="TableText"/>
            </w:pPr>
          </w:p>
        </w:tc>
        <w:tc>
          <w:tcPr>
            <w:tcW w:w="4650" w:type="dxa"/>
            <w:gridSpan w:val="3"/>
          </w:tcPr>
          <w:p w14:paraId="45440F04" w14:textId="3F0AF77A" w:rsidR="00BF48F6" w:rsidRDefault="00BF48F6" w:rsidP="00D61DFF">
            <w:pPr>
              <w:pStyle w:val="TableBlock"/>
              <w:rPr>
                <w:rtl/>
              </w:rPr>
            </w:pPr>
            <w:r>
              <w:rPr>
                <w:rtl/>
              </w:rPr>
              <w:t>(ג)</w:t>
            </w:r>
            <w:r>
              <w:rPr>
                <w:rtl/>
              </w:rPr>
              <w:tab/>
            </w:r>
            <w:r w:rsidRPr="006B6E3F">
              <w:rPr>
                <w:rtl/>
              </w:rPr>
              <w:t xml:space="preserve">שר הבריאות </w:t>
            </w:r>
            <w:r>
              <w:rPr>
                <w:rtl/>
              </w:rPr>
              <w:t>יקבע הוראות לעניין</w:t>
            </w:r>
            <w:r w:rsidRPr="006B6E3F">
              <w:rPr>
                <w:rtl/>
              </w:rPr>
              <w:t xml:space="preserve"> תשלומים מרביים או תשלומים מזעריים בעד התחברות בית המרקחת למערכת הממוחשבת של קופת החולים, וכן הוראות בדבר דרכים לחישוב התשלומים, מרכיביהם והיחסים </w:t>
            </w:r>
            <w:r>
              <w:rPr>
                <w:rtl/>
              </w:rPr>
              <w:t>ש</w:t>
            </w:r>
            <w:r w:rsidRPr="006B6E3F">
              <w:rPr>
                <w:rtl/>
              </w:rPr>
              <w:t>ביניהם</w:t>
            </w:r>
            <w:r>
              <w:rPr>
                <w:rtl/>
              </w:rPr>
              <w:t>.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BF48F6" w14:paraId="2FE840D9" w14:textId="77777777" w:rsidTr="00BF48F6">
        <w:trPr>
          <w:cantSplit/>
        </w:trPr>
        <w:tc>
          <w:tcPr>
            <w:tcW w:w="1870" w:type="dxa"/>
          </w:tcPr>
          <w:p w14:paraId="4161737A" w14:textId="77777777" w:rsidR="00BF48F6" w:rsidRDefault="00BF48F6" w:rsidP="00A47F96">
            <w:pPr>
              <w:pStyle w:val="TableSideHeading"/>
              <w:keepLines w:val="0"/>
            </w:pPr>
          </w:p>
        </w:tc>
        <w:tc>
          <w:tcPr>
            <w:tcW w:w="624" w:type="dxa"/>
          </w:tcPr>
          <w:p w14:paraId="5297EEC7" w14:textId="77777777" w:rsidR="00BF48F6" w:rsidRDefault="00BF48F6" w:rsidP="00A47F96">
            <w:pPr>
              <w:pStyle w:val="TableText"/>
              <w:keepLines w:val="0"/>
            </w:pPr>
          </w:p>
        </w:tc>
        <w:tc>
          <w:tcPr>
            <w:tcW w:w="1873" w:type="dxa"/>
            <w:gridSpan w:val="3"/>
          </w:tcPr>
          <w:p w14:paraId="29B031DE" w14:textId="77777777" w:rsidR="00BF48F6" w:rsidRDefault="00BF48F6" w:rsidP="00A47F96">
            <w:pPr>
              <w:pStyle w:val="TableInnerSideHeading"/>
            </w:pPr>
            <w:r w:rsidRPr="00C3237E">
              <w:rPr>
                <w:rtl/>
              </w:rPr>
              <w:t>הוראות בדבר אבטחת מידע, שמירתו ונגישותו</w:t>
            </w:r>
          </w:p>
        </w:tc>
        <w:tc>
          <w:tcPr>
            <w:tcW w:w="624" w:type="dxa"/>
          </w:tcPr>
          <w:p w14:paraId="6775E8DD" w14:textId="77777777" w:rsidR="00BF48F6" w:rsidRDefault="00BF48F6" w:rsidP="00A47F96">
            <w:pPr>
              <w:pStyle w:val="TableText"/>
            </w:pPr>
            <w:r>
              <w:rPr>
                <w:rtl/>
              </w:rPr>
              <w:t>21ו.</w:t>
            </w:r>
          </w:p>
        </w:tc>
        <w:tc>
          <w:tcPr>
            <w:tcW w:w="4650" w:type="dxa"/>
            <w:gridSpan w:val="3"/>
          </w:tcPr>
          <w:p w14:paraId="3173509C" w14:textId="6BFCED10" w:rsidR="00BF48F6" w:rsidRDefault="00BF48F6" w:rsidP="00A47F96">
            <w:pPr>
              <w:pStyle w:val="TableBlock"/>
            </w:pPr>
            <w:r>
              <w:rPr>
                <w:rtl/>
              </w:rPr>
              <w:t>(א)</w:t>
            </w:r>
            <w:r>
              <w:rPr>
                <w:rtl/>
              </w:rPr>
              <w:tab/>
            </w:r>
            <w:r w:rsidRPr="00C3237E">
              <w:rPr>
                <w:rtl/>
              </w:rPr>
              <w:t>חיבור</w:t>
            </w:r>
            <w:r>
              <w:rPr>
                <w:rtl/>
              </w:rPr>
              <w:t xml:space="preserve"> של בית מרקחת למערכת הממוחשבת של קופת חולים </w:t>
            </w:r>
            <w:r w:rsidRPr="00C3237E">
              <w:rPr>
                <w:rtl/>
              </w:rPr>
              <w:t xml:space="preserve">כאמור בסעיף </w:t>
            </w:r>
            <w:r>
              <w:rPr>
                <w:rtl/>
              </w:rPr>
              <w:t xml:space="preserve">21ה </w:t>
            </w:r>
            <w:r w:rsidR="00BB2E7B">
              <w:rPr>
                <w:rFonts w:hint="cs"/>
                <w:rtl/>
              </w:rPr>
              <w:t>י</w:t>
            </w:r>
            <w:r w:rsidR="00D61DFF">
              <w:rPr>
                <w:rFonts w:hint="cs"/>
                <w:rtl/>
              </w:rPr>
              <w:t>יעשה באופן ש</w:t>
            </w:r>
            <w:r w:rsidRPr="00C3237E">
              <w:rPr>
                <w:rtl/>
              </w:rPr>
              <w:t>ימזער</w:t>
            </w:r>
            <w:r>
              <w:rPr>
                <w:rtl/>
              </w:rPr>
              <w:t>,</w:t>
            </w:r>
            <w:r w:rsidRPr="00C3237E">
              <w:rPr>
                <w:rtl/>
              </w:rPr>
              <w:t xml:space="preserve"> ככל האפשר ובשים לב לחלופות טכנולוגיות מקובלות, את הסיכון לפגיעה בפרטיותם של הלקוחות.</w:t>
            </w:r>
          </w:p>
        </w:tc>
      </w:tr>
      <w:tr w:rsidR="00BF48F6" w:rsidRPr="00AA1B64" w14:paraId="0BBB5CE5" w14:textId="77777777" w:rsidTr="00BF48F6">
        <w:trPr>
          <w:cantSplit/>
        </w:trPr>
        <w:tc>
          <w:tcPr>
            <w:tcW w:w="1870" w:type="dxa"/>
          </w:tcPr>
          <w:p w14:paraId="7C0C85F1" w14:textId="77777777" w:rsidR="00BF48F6" w:rsidRDefault="00BF48F6" w:rsidP="00A47F96">
            <w:pPr>
              <w:pStyle w:val="TableSideHeading"/>
            </w:pPr>
          </w:p>
        </w:tc>
        <w:tc>
          <w:tcPr>
            <w:tcW w:w="624" w:type="dxa"/>
          </w:tcPr>
          <w:p w14:paraId="077B68D6" w14:textId="77777777" w:rsidR="00BF48F6" w:rsidRDefault="00BF48F6" w:rsidP="00A47F96">
            <w:pPr>
              <w:pStyle w:val="TableText"/>
            </w:pPr>
          </w:p>
        </w:tc>
        <w:tc>
          <w:tcPr>
            <w:tcW w:w="624" w:type="dxa"/>
          </w:tcPr>
          <w:p w14:paraId="24719E01" w14:textId="77777777" w:rsidR="00BF48F6" w:rsidRDefault="00BF48F6" w:rsidP="00A47F96">
            <w:pPr>
              <w:pStyle w:val="TableText"/>
            </w:pPr>
          </w:p>
        </w:tc>
        <w:tc>
          <w:tcPr>
            <w:tcW w:w="624" w:type="dxa"/>
          </w:tcPr>
          <w:p w14:paraId="35C7520C" w14:textId="77777777" w:rsidR="00BF48F6" w:rsidRDefault="00BF48F6" w:rsidP="00A47F96">
            <w:pPr>
              <w:pStyle w:val="TableText"/>
            </w:pPr>
          </w:p>
        </w:tc>
        <w:tc>
          <w:tcPr>
            <w:tcW w:w="625" w:type="dxa"/>
          </w:tcPr>
          <w:p w14:paraId="3AA36D5A" w14:textId="77777777" w:rsidR="00BF48F6" w:rsidRDefault="00BF48F6" w:rsidP="00A47F96">
            <w:pPr>
              <w:pStyle w:val="TableText"/>
            </w:pPr>
          </w:p>
        </w:tc>
        <w:tc>
          <w:tcPr>
            <w:tcW w:w="624" w:type="dxa"/>
          </w:tcPr>
          <w:p w14:paraId="2AA6EB1D" w14:textId="77777777" w:rsidR="00BF48F6" w:rsidRDefault="00BF48F6" w:rsidP="00A47F96">
            <w:pPr>
              <w:pStyle w:val="TableText"/>
            </w:pPr>
          </w:p>
        </w:tc>
        <w:tc>
          <w:tcPr>
            <w:tcW w:w="4650" w:type="dxa"/>
            <w:gridSpan w:val="3"/>
          </w:tcPr>
          <w:p w14:paraId="60969412" w14:textId="4CB352FC" w:rsidR="00BF48F6" w:rsidRPr="00AA1B64" w:rsidRDefault="00BF48F6" w:rsidP="00776D34">
            <w:pPr>
              <w:pStyle w:val="TableBlock"/>
            </w:pPr>
            <w:r w:rsidRPr="003438C3">
              <w:rPr>
                <w:rtl/>
              </w:rPr>
              <w:t>(ב</w:t>
            </w:r>
            <w:r w:rsidRPr="00AA1B64">
              <w:rPr>
                <w:rtl/>
              </w:rPr>
              <w:t>)</w:t>
            </w:r>
            <w:r w:rsidRPr="00AA1B64">
              <w:rPr>
                <w:rtl/>
              </w:rPr>
              <w:tab/>
              <w:t xml:space="preserve">השר, </w:t>
            </w:r>
            <w:r w:rsidR="00776D34">
              <w:rPr>
                <w:rFonts w:hint="cs"/>
                <w:rtl/>
              </w:rPr>
              <w:t>ב</w:t>
            </w:r>
            <w:r w:rsidRPr="00AA1B64">
              <w:rPr>
                <w:rtl/>
              </w:rPr>
              <w:t xml:space="preserve">התייעצות עם שר </w:t>
            </w:r>
            <w:r w:rsidRPr="00C3237E">
              <w:rPr>
                <w:rtl/>
              </w:rPr>
              <w:t xml:space="preserve">המשפטים, </w:t>
            </w:r>
            <w:r w:rsidRPr="0051598C">
              <w:rPr>
                <w:rtl/>
              </w:rPr>
              <w:t>יקבע</w:t>
            </w:r>
            <w:r>
              <w:rPr>
                <w:rFonts w:hint="cs"/>
                <w:rtl/>
              </w:rPr>
              <w:t xml:space="preserve"> </w:t>
            </w:r>
            <w:r w:rsidRPr="00C3237E">
              <w:rPr>
                <w:rtl/>
              </w:rPr>
              <w:t>הוראות בעניינים</w:t>
            </w:r>
            <w:r w:rsidRPr="00AA1B64">
              <w:rPr>
                <w:rtl/>
              </w:rPr>
              <w:t xml:space="preserve"> </w:t>
            </w:r>
            <w:r w:rsidRPr="00C3237E">
              <w:rPr>
                <w:rtl/>
              </w:rPr>
              <w:t>אלה:</w:t>
            </w:r>
          </w:p>
        </w:tc>
      </w:tr>
      <w:tr w:rsidR="00BF48F6" w:rsidRPr="003438C3" w14:paraId="5A9B8F6E" w14:textId="77777777" w:rsidTr="00BF48F6">
        <w:trPr>
          <w:cantSplit/>
          <w:trHeight w:val="60"/>
        </w:trPr>
        <w:tc>
          <w:tcPr>
            <w:tcW w:w="1870" w:type="dxa"/>
          </w:tcPr>
          <w:p w14:paraId="2DE77550" w14:textId="77777777" w:rsidR="00BF48F6" w:rsidRDefault="00BF48F6" w:rsidP="00A47F96">
            <w:pPr>
              <w:pStyle w:val="TableSideHeading"/>
            </w:pPr>
          </w:p>
        </w:tc>
        <w:tc>
          <w:tcPr>
            <w:tcW w:w="624" w:type="dxa"/>
          </w:tcPr>
          <w:p w14:paraId="238C59C7" w14:textId="77777777" w:rsidR="00BF48F6" w:rsidRDefault="00BF48F6" w:rsidP="00A47F96">
            <w:pPr>
              <w:pStyle w:val="TableText"/>
            </w:pPr>
          </w:p>
        </w:tc>
        <w:tc>
          <w:tcPr>
            <w:tcW w:w="624" w:type="dxa"/>
          </w:tcPr>
          <w:p w14:paraId="5A5CE75B" w14:textId="77777777" w:rsidR="00BF48F6" w:rsidRDefault="00BF48F6" w:rsidP="00A47F96">
            <w:pPr>
              <w:pStyle w:val="TableText"/>
            </w:pPr>
          </w:p>
        </w:tc>
        <w:tc>
          <w:tcPr>
            <w:tcW w:w="624" w:type="dxa"/>
          </w:tcPr>
          <w:p w14:paraId="39247383" w14:textId="77777777" w:rsidR="00BF48F6" w:rsidRDefault="00BF48F6" w:rsidP="00A47F96">
            <w:pPr>
              <w:pStyle w:val="TableText"/>
            </w:pPr>
          </w:p>
        </w:tc>
        <w:tc>
          <w:tcPr>
            <w:tcW w:w="625" w:type="dxa"/>
          </w:tcPr>
          <w:p w14:paraId="4670402E" w14:textId="77777777" w:rsidR="00BF48F6" w:rsidRDefault="00BF48F6" w:rsidP="00A47F96">
            <w:pPr>
              <w:pStyle w:val="TableText"/>
            </w:pPr>
          </w:p>
        </w:tc>
        <w:tc>
          <w:tcPr>
            <w:tcW w:w="624" w:type="dxa"/>
          </w:tcPr>
          <w:p w14:paraId="5B5B0B83" w14:textId="77777777" w:rsidR="00BF48F6" w:rsidRDefault="00BF48F6" w:rsidP="00A47F96">
            <w:pPr>
              <w:pStyle w:val="TableText"/>
            </w:pPr>
          </w:p>
        </w:tc>
        <w:tc>
          <w:tcPr>
            <w:tcW w:w="624" w:type="dxa"/>
          </w:tcPr>
          <w:p w14:paraId="4ED58285" w14:textId="77777777" w:rsidR="00BF48F6" w:rsidRDefault="00BF48F6" w:rsidP="00A47F96">
            <w:pPr>
              <w:pStyle w:val="TableText"/>
            </w:pPr>
          </w:p>
        </w:tc>
        <w:tc>
          <w:tcPr>
            <w:tcW w:w="4026" w:type="dxa"/>
            <w:gridSpan w:val="2"/>
          </w:tcPr>
          <w:p w14:paraId="6FFD11AA" w14:textId="77777777" w:rsidR="00BF48F6" w:rsidRPr="003438C3" w:rsidRDefault="00BF48F6" w:rsidP="00A47F96">
            <w:pPr>
              <w:pStyle w:val="TableBlock"/>
              <w:rPr>
                <w:rtl/>
              </w:rPr>
            </w:pPr>
            <w:r w:rsidRPr="003438C3">
              <w:rPr>
                <w:rtl/>
              </w:rPr>
              <w:t>(1</w:t>
            </w:r>
            <w:r w:rsidRPr="00B16833">
              <w:rPr>
                <w:rtl/>
              </w:rPr>
              <w:t>)</w:t>
            </w:r>
            <w:r w:rsidRPr="00B16833">
              <w:rPr>
                <w:rtl/>
              </w:rPr>
              <w:tab/>
            </w:r>
            <w:r w:rsidRPr="00C3237E">
              <w:rPr>
                <w:rtl/>
              </w:rPr>
              <w:t>אופן הגישה למידע המועבר במערכת</w:t>
            </w:r>
            <w:r>
              <w:rPr>
                <w:rtl/>
              </w:rPr>
              <w:t xml:space="preserve"> הממוחשבת (להלן – המידע),</w:t>
            </w:r>
            <w:r w:rsidRPr="00C3237E">
              <w:rPr>
                <w:rtl/>
              </w:rPr>
              <w:t xml:space="preserve"> ובכלל זה אמצעי הזיהוי הנדרשים ממשתמש במערכת</w:t>
            </w:r>
            <w:r>
              <w:rPr>
                <w:rtl/>
              </w:rPr>
              <w:t xml:space="preserve"> הממוחשבת</w:t>
            </w:r>
            <w:r w:rsidRPr="00C3237E">
              <w:rPr>
                <w:rtl/>
              </w:rPr>
              <w:t xml:space="preserve"> או מי מטעמו, לשם גישה למערכת</w:t>
            </w:r>
            <w:r>
              <w:rPr>
                <w:rtl/>
              </w:rPr>
              <w:t xml:space="preserve"> הממוחשבת לרבות ביצוע פעולות בה, </w:t>
            </w:r>
            <w:r w:rsidRPr="00C3237E">
              <w:rPr>
                <w:rtl/>
              </w:rPr>
              <w:t>התקופה שבה המידע שבמערכת</w:t>
            </w:r>
            <w:r>
              <w:rPr>
                <w:rtl/>
              </w:rPr>
              <w:t xml:space="preserve"> הממוחשבת</w:t>
            </w:r>
            <w:r w:rsidRPr="00C3237E">
              <w:rPr>
                <w:rtl/>
              </w:rPr>
              <w:t xml:space="preserve"> יהיה נגיש למשתמש וכן הוראות בדבר אופן הגישה לשם בקרה על פעולת המערכת</w:t>
            </w:r>
            <w:r>
              <w:rPr>
                <w:rtl/>
              </w:rPr>
              <w:t xml:space="preserve"> הממוחשבת</w:t>
            </w:r>
            <w:r w:rsidRPr="00C3237E">
              <w:rPr>
                <w:rtl/>
              </w:rPr>
              <w:t>; השר רשאי לקבוע כאמור הוראות מיוחדות בדבר אמצעי הזיהוי הנדרשים מבית המרקחת לשם גישה למערכת</w:t>
            </w:r>
            <w:r>
              <w:rPr>
                <w:rtl/>
              </w:rPr>
              <w:t xml:space="preserve"> הממוחשבת;</w:t>
            </w:r>
          </w:p>
        </w:tc>
      </w:tr>
      <w:tr w:rsidR="00BF48F6" w:rsidRPr="00C3237E" w14:paraId="1537BAC5" w14:textId="77777777" w:rsidTr="00BF48F6">
        <w:trPr>
          <w:cantSplit/>
          <w:trHeight w:val="60"/>
        </w:trPr>
        <w:tc>
          <w:tcPr>
            <w:tcW w:w="1870" w:type="dxa"/>
          </w:tcPr>
          <w:p w14:paraId="1CDA65BA" w14:textId="77777777" w:rsidR="00BF48F6" w:rsidRDefault="00BF48F6" w:rsidP="00A47F96">
            <w:pPr>
              <w:pStyle w:val="TableSideHeading"/>
            </w:pPr>
          </w:p>
        </w:tc>
        <w:tc>
          <w:tcPr>
            <w:tcW w:w="624" w:type="dxa"/>
          </w:tcPr>
          <w:p w14:paraId="017D403B" w14:textId="77777777" w:rsidR="00BF48F6" w:rsidRDefault="00BF48F6" w:rsidP="00A47F96">
            <w:pPr>
              <w:pStyle w:val="TableText"/>
            </w:pPr>
          </w:p>
        </w:tc>
        <w:tc>
          <w:tcPr>
            <w:tcW w:w="624" w:type="dxa"/>
          </w:tcPr>
          <w:p w14:paraId="3D15B8A1" w14:textId="77777777" w:rsidR="00BF48F6" w:rsidRDefault="00BF48F6" w:rsidP="00A47F96">
            <w:pPr>
              <w:pStyle w:val="TableText"/>
            </w:pPr>
          </w:p>
        </w:tc>
        <w:tc>
          <w:tcPr>
            <w:tcW w:w="624" w:type="dxa"/>
          </w:tcPr>
          <w:p w14:paraId="0558BDE1" w14:textId="77777777" w:rsidR="00BF48F6" w:rsidRDefault="00BF48F6" w:rsidP="00A47F96">
            <w:pPr>
              <w:pStyle w:val="TableText"/>
            </w:pPr>
          </w:p>
        </w:tc>
        <w:tc>
          <w:tcPr>
            <w:tcW w:w="625" w:type="dxa"/>
          </w:tcPr>
          <w:p w14:paraId="387900F5" w14:textId="77777777" w:rsidR="00BF48F6" w:rsidRDefault="00BF48F6" w:rsidP="00A47F96">
            <w:pPr>
              <w:pStyle w:val="TableText"/>
            </w:pPr>
          </w:p>
        </w:tc>
        <w:tc>
          <w:tcPr>
            <w:tcW w:w="624" w:type="dxa"/>
          </w:tcPr>
          <w:p w14:paraId="152694E4" w14:textId="77777777" w:rsidR="00BF48F6" w:rsidRDefault="00BF48F6" w:rsidP="00A47F96">
            <w:pPr>
              <w:pStyle w:val="TableText"/>
            </w:pPr>
          </w:p>
        </w:tc>
        <w:tc>
          <w:tcPr>
            <w:tcW w:w="624" w:type="dxa"/>
          </w:tcPr>
          <w:p w14:paraId="042AB929" w14:textId="77777777" w:rsidR="00BF48F6" w:rsidRDefault="00BF48F6" w:rsidP="00A47F96">
            <w:pPr>
              <w:pStyle w:val="TableText"/>
            </w:pPr>
          </w:p>
        </w:tc>
        <w:tc>
          <w:tcPr>
            <w:tcW w:w="4026" w:type="dxa"/>
            <w:gridSpan w:val="2"/>
          </w:tcPr>
          <w:p w14:paraId="760E148F" w14:textId="77777777" w:rsidR="00BF48F6" w:rsidRPr="00C3237E" w:rsidRDefault="00BF48F6" w:rsidP="00A47F96">
            <w:pPr>
              <w:pStyle w:val="TableBlock"/>
              <w:rPr>
                <w:rtl/>
              </w:rPr>
            </w:pPr>
            <w:r w:rsidRPr="003438C3">
              <w:rPr>
                <w:rtl/>
              </w:rPr>
              <w:t>(2</w:t>
            </w:r>
            <w:r w:rsidRPr="00B16833">
              <w:rPr>
                <w:rtl/>
              </w:rPr>
              <w:t>)</w:t>
            </w:r>
            <w:r w:rsidRPr="00B16833">
              <w:rPr>
                <w:rtl/>
              </w:rPr>
              <w:tab/>
              <w:t>אופן השימוש במידע</w:t>
            </w:r>
            <w:r>
              <w:rPr>
                <w:rtl/>
              </w:rPr>
              <w:t xml:space="preserve"> </w:t>
            </w:r>
            <w:r w:rsidRPr="00C3237E">
              <w:rPr>
                <w:rtl/>
              </w:rPr>
              <w:t>ואבטחתו;</w:t>
            </w:r>
          </w:p>
        </w:tc>
      </w:tr>
      <w:tr w:rsidR="00BF48F6" w:rsidRPr="003438C3" w14:paraId="390AD3A4" w14:textId="77777777" w:rsidTr="00BF48F6">
        <w:trPr>
          <w:cantSplit/>
          <w:trHeight w:val="60"/>
        </w:trPr>
        <w:tc>
          <w:tcPr>
            <w:tcW w:w="1870" w:type="dxa"/>
          </w:tcPr>
          <w:p w14:paraId="1604E51F" w14:textId="77777777" w:rsidR="00BF48F6" w:rsidRDefault="00BF48F6" w:rsidP="00A47F96">
            <w:pPr>
              <w:pStyle w:val="TableSideHeading"/>
            </w:pPr>
          </w:p>
        </w:tc>
        <w:tc>
          <w:tcPr>
            <w:tcW w:w="624" w:type="dxa"/>
          </w:tcPr>
          <w:p w14:paraId="54D689A9" w14:textId="77777777" w:rsidR="00BF48F6" w:rsidRDefault="00BF48F6" w:rsidP="00A47F96">
            <w:pPr>
              <w:pStyle w:val="TableText"/>
            </w:pPr>
          </w:p>
        </w:tc>
        <w:tc>
          <w:tcPr>
            <w:tcW w:w="624" w:type="dxa"/>
          </w:tcPr>
          <w:p w14:paraId="456C0976" w14:textId="77777777" w:rsidR="00BF48F6" w:rsidRDefault="00BF48F6" w:rsidP="00A47F96">
            <w:pPr>
              <w:pStyle w:val="TableText"/>
            </w:pPr>
          </w:p>
        </w:tc>
        <w:tc>
          <w:tcPr>
            <w:tcW w:w="624" w:type="dxa"/>
          </w:tcPr>
          <w:p w14:paraId="5CB3D160" w14:textId="77777777" w:rsidR="00BF48F6" w:rsidRDefault="00BF48F6" w:rsidP="00A47F96">
            <w:pPr>
              <w:pStyle w:val="TableText"/>
            </w:pPr>
          </w:p>
        </w:tc>
        <w:tc>
          <w:tcPr>
            <w:tcW w:w="625" w:type="dxa"/>
          </w:tcPr>
          <w:p w14:paraId="79744416" w14:textId="77777777" w:rsidR="00BF48F6" w:rsidRDefault="00BF48F6" w:rsidP="00A47F96">
            <w:pPr>
              <w:pStyle w:val="TableText"/>
            </w:pPr>
          </w:p>
        </w:tc>
        <w:tc>
          <w:tcPr>
            <w:tcW w:w="624" w:type="dxa"/>
          </w:tcPr>
          <w:p w14:paraId="7C64F5A0" w14:textId="77777777" w:rsidR="00BF48F6" w:rsidRDefault="00BF48F6" w:rsidP="00A47F96">
            <w:pPr>
              <w:pStyle w:val="TableText"/>
            </w:pPr>
          </w:p>
        </w:tc>
        <w:tc>
          <w:tcPr>
            <w:tcW w:w="624" w:type="dxa"/>
          </w:tcPr>
          <w:p w14:paraId="48300238" w14:textId="77777777" w:rsidR="00BF48F6" w:rsidRDefault="00BF48F6" w:rsidP="00A47F96">
            <w:pPr>
              <w:pStyle w:val="TableText"/>
            </w:pPr>
          </w:p>
        </w:tc>
        <w:tc>
          <w:tcPr>
            <w:tcW w:w="4026" w:type="dxa"/>
            <w:gridSpan w:val="2"/>
          </w:tcPr>
          <w:p w14:paraId="74D20B5D" w14:textId="77777777" w:rsidR="00BF48F6" w:rsidRPr="003438C3" w:rsidRDefault="00BF48F6" w:rsidP="00A47F96">
            <w:pPr>
              <w:pStyle w:val="TableBlock"/>
              <w:rPr>
                <w:rtl/>
              </w:rPr>
            </w:pPr>
            <w:r w:rsidRPr="003438C3">
              <w:rPr>
                <w:rtl/>
              </w:rPr>
              <w:t>(3</w:t>
            </w:r>
            <w:r w:rsidRPr="00B16833">
              <w:rPr>
                <w:rtl/>
              </w:rPr>
              <w:t>)</w:t>
            </w:r>
            <w:r w:rsidRPr="00B16833">
              <w:rPr>
                <w:rtl/>
              </w:rPr>
              <w:tab/>
            </w:r>
            <w:r w:rsidRPr="00C3237E">
              <w:rPr>
                <w:rtl/>
              </w:rPr>
              <w:t>אופן שמירת המידע, סוג המידע שיישמר</w:t>
            </w:r>
            <w:r>
              <w:rPr>
                <w:rtl/>
              </w:rPr>
              <w:t xml:space="preserve"> ו</w:t>
            </w:r>
            <w:r w:rsidRPr="00C3237E">
              <w:rPr>
                <w:rtl/>
              </w:rPr>
              <w:t>התקופות לשמירתו</w:t>
            </w:r>
            <w:r>
              <w:rPr>
                <w:rtl/>
              </w:rPr>
              <w:t>;</w:t>
            </w:r>
          </w:p>
        </w:tc>
      </w:tr>
      <w:tr w:rsidR="00BF48F6" w:rsidRPr="00B16833" w14:paraId="71BCBDB6" w14:textId="77777777" w:rsidTr="00BF48F6">
        <w:trPr>
          <w:cantSplit/>
          <w:trHeight w:val="60"/>
        </w:trPr>
        <w:tc>
          <w:tcPr>
            <w:tcW w:w="1870" w:type="dxa"/>
          </w:tcPr>
          <w:p w14:paraId="6F6600EF" w14:textId="77777777" w:rsidR="00BF48F6" w:rsidRDefault="00BF48F6" w:rsidP="00A47F96">
            <w:pPr>
              <w:pStyle w:val="TableSideHeading"/>
            </w:pPr>
          </w:p>
        </w:tc>
        <w:tc>
          <w:tcPr>
            <w:tcW w:w="624" w:type="dxa"/>
          </w:tcPr>
          <w:p w14:paraId="373EC02B" w14:textId="77777777" w:rsidR="00BF48F6" w:rsidRDefault="00BF48F6" w:rsidP="00A47F96">
            <w:pPr>
              <w:pStyle w:val="TableText"/>
            </w:pPr>
          </w:p>
        </w:tc>
        <w:tc>
          <w:tcPr>
            <w:tcW w:w="624" w:type="dxa"/>
          </w:tcPr>
          <w:p w14:paraId="7D5F0876" w14:textId="77777777" w:rsidR="00BF48F6" w:rsidRDefault="00BF48F6" w:rsidP="00A47F96">
            <w:pPr>
              <w:pStyle w:val="TableText"/>
            </w:pPr>
          </w:p>
        </w:tc>
        <w:tc>
          <w:tcPr>
            <w:tcW w:w="624" w:type="dxa"/>
          </w:tcPr>
          <w:p w14:paraId="41D484B6" w14:textId="77777777" w:rsidR="00BF48F6" w:rsidRDefault="00BF48F6" w:rsidP="00A47F96">
            <w:pPr>
              <w:pStyle w:val="TableText"/>
            </w:pPr>
          </w:p>
        </w:tc>
        <w:tc>
          <w:tcPr>
            <w:tcW w:w="625" w:type="dxa"/>
          </w:tcPr>
          <w:p w14:paraId="10F41F0C" w14:textId="77777777" w:rsidR="00BF48F6" w:rsidRDefault="00BF48F6" w:rsidP="00A47F96">
            <w:pPr>
              <w:pStyle w:val="TableText"/>
            </w:pPr>
          </w:p>
        </w:tc>
        <w:tc>
          <w:tcPr>
            <w:tcW w:w="624" w:type="dxa"/>
          </w:tcPr>
          <w:p w14:paraId="0057DC8A" w14:textId="77777777" w:rsidR="00BF48F6" w:rsidRDefault="00BF48F6" w:rsidP="00A47F96">
            <w:pPr>
              <w:pStyle w:val="TableText"/>
            </w:pPr>
          </w:p>
        </w:tc>
        <w:tc>
          <w:tcPr>
            <w:tcW w:w="624" w:type="dxa"/>
          </w:tcPr>
          <w:p w14:paraId="45B4510E" w14:textId="77777777" w:rsidR="00BF48F6" w:rsidRDefault="00BF48F6" w:rsidP="00A47F96">
            <w:pPr>
              <w:pStyle w:val="TableText"/>
            </w:pPr>
          </w:p>
        </w:tc>
        <w:tc>
          <w:tcPr>
            <w:tcW w:w="4026" w:type="dxa"/>
            <w:gridSpan w:val="2"/>
          </w:tcPr>
          <w:p w14:paraId="31966566" w14:textId="77777777" w:rsidR="00BF48F6" w:rsidRPr="00B16833" w:rsidRDefault="00BF48F6" w:rsidP="00A47F96">
            <w:pPr>
              <w:pStyle w:val="TableBlock"/>
              <w:rPr>
                <w:rtl/>
              </w:rPr>
            </w:pPr>
            <w:r w:rsidRPr="00C3237E">
              <w:rPr>
                <w:rtl/>
              </w:rPr>
              <w:t>(4)</w:t>
            </w:r>
            <w:r w:rsidRPr="00C3237E">
              <w:rPr>
                <w:rtl/>
              </w:rPr>
              <w:tab/>
              <w:t xml:space="preserve">התקופות לשמירת </w:t>
            </w:r>
            <w:r>
              <w:rPr>
                <w:rtl/>
              </w:rPr>
              <w:t xml:space="preserve">נתונים המתעדים את השימוש במערכת הממוחשבת, לרבות פרטים על מועדי בקשת תכשיר מרשם ומסירתו וזהות הלקוח; </w:t>
            </w:r>
          </w:p>
        </w:tc>
      </w:tr>
      <w:tr w:rsidR="00BF48F6" w:rsidRPr="00C3237E" w14:paraId="73C870C5" w14:textId="77777777" w:rsidTr="00BF48F6">
        <w:trPr>
          <w:cantSplit/>
          <w:trHeight w:val="60"/>
        </w:trPr>
        <w:tc>
          <w:tcPr>
            <w:tcW w:w="1870" w:type="dxa"/>
          </w:tcPr>
          <w:p w14:paraId="70C6F024" w14:textId="77777777" w:rsidR="00BF48F6" w:rsidRDefault="00BF48F6" w:rsidP="00A47F96">
            <w:pPr>
              <w:pStyle w:val="TableSideHeading"/>
            </w:pPr>
          </w:p>
        </w:tc>
        <w:tc>
          <w:tcPr>
            <w:tcW w:w="624" w:type="dxa"/>
          </w:tcPr>
          <w:p w14:paraId="1AF78D31" w14:textId="77777777" w:rsidR="00BF48F6" w:rsidRDefault="00BF48F6" w:rsidP="00A47F96">
            <w:pPr>
              <w:pStyle w:val="TableText"/>
            </w:pPr>
          </w:p>
        </w:tc>
        <w:tc>
          <w:tcPr>
            <w:tcW w:w="624" w:type="dxa"/>
          </w:tcPr>
          <w:p w14:paraId="25F04ADF" w14:textId="77777777" w:rsidR="00BF48F6" w:rsidRDefault="00BF48F6" w:rsidP="00A47F96">
            <w:pPr>
              <w:pStyle w:val="TableText"/>
            </w:pPr>
          </w:p>
        </w:tc>
        <w:tc>
          <w:tcPr>
            <w:tcW w:w="624" w:type="dxa"/>
          </w:tcPr>
          <w:p w14:paraId="0E751E16" w14:textId="77777777" w:rsidR="00BF48F6" w:rsidRDefault="00BF48F6" w:rsidP="00A47F96">
            <w:pPr>
              <w:pStyle w:val="TableText"/>
            </w:pPr>
          </w:p>
        </w:tc>
        <w:tc>
          <w:tcPr>
            <w:tcW w:w="625" w:type="dxa"/>
          </w:tcPr>
          <w:p w14:paraId="3E0FFA00" w14:textId="77777777" w:rsidR="00BF48F6" w:rsidRDefault="00BF48F6" w:rsidP="00A47F96">
            <w:pPr>
              <w:pStyle w:val="TableText"/>
            </w:pPr>
          </w:p>
        </w:tc>
        <w:tc>
          <w:tcPr>
            <w:tcW w:w="624" w:type="dxa"/>
          </w:tcPr>
          <w:p w14:paraId="05F69AD6" w14:textId="77777777" w:rsidR="00BF48F6" w:rsidRDefault="00BF48F6" w:rsidP="00A47F96">
            <w:pPr>
              <w:pStyle w:val="TableText"/>
            </w:pPr>
          </w:p>
        </w:tc>
        <w:tc>
          <w:tcPr>
            <w:tcW w:w="624" w:type="dxa"/>
          </w:tcPr>
          <w:p w14:paraId="609EA622" w14:textId="77777777" w:rsidR="00BF48F6" w:rsidRDefault="00BF48F6" w:rsidP="00A47F96">
            <w:pPr>
              <w:pStyle w:val="TableText"/>
            </w:pPr>
          </w:p>
        </w:tc>
        <w:tc>
          <w:tcPr>
            <w:tcW w:w="4026" w:type="dxa"/>
            <w:gridSpan w:val="2"/>
          </w:tcPr>
          <w:p w14:paraId="41584E81" w14:textId="77777777" w:rsidR="00BF48F6" w:rsidRPr="00C3237E" w:rsidRDefault="00BF48F6" w:rsidP="00A47F96">
            <w:pPr>
              <w:pStyle w:val="TableBlock"/>
              <w:rPr>
                <w:rtl/>
              </w:rPr>
            </w:pPr>
            <w:r w:rsidRPr="00C3237E">
              <w:rPr>
                <w:rtl/>
              </w:rPr>
              <w:t>(5)</w:t>
            </w:r>
            <w:r w:rsidRPr="00C3237E">
              <w:rPr>
                <w:rtl/>
              </w:rPr>
              <w:tab/>
              <w:t>קיומם של אמצ</w:t>
            </w:r>
            <w:r>
              <w:rPr>
                <w:rtl/>
              </w:rPr>
              <w:t>עי הגנה סבירים מפני חדירה לחומר שב</w:t>
            </w:r>
            <w:r w:rsidRPr="00C3237E">
              <w:rPr>
                <w:rtl/>
              </w:rPr>
              <w:t>מחשב ומפני שיבוש עבודת המערכת</w:t>
            </w:r>
            <w:r>
              <w:rPr>
                <w:rtl/>
              </w:rPr>
              <w:t xml:space="preserve"> הממוחשבת.</w:t>
            </w:r>
          </w:p>
        </w:tc>
      </w:tr>
      <w:tr w:rsidR="00BF48F6" w:rsidRPr="00F24139" w14:paraId="677AE4F0" w14:textId="77777777" w:rsidTr="00BF48F6">
        <w:trPr>
          <w:cantSplit/>
        </w:trPr>
        <w:tc>
          <w:tcPr>
            <w:tcW w:w="1870" w:type="dxa"/>
          </w:tcPr>
          <w:p w14:paraId="6B9B2176" w14:textId="77777777" w:rsidR="00BF48F6" w:rsidRDefault="00BF48F6" w:rsidP="00A47F96">
            <w:pPr>
              <w:pStyle w:val="TableSideHeading"/>
              <w:keepLines w:val="0"/>
            </w:pPr>
          </w:p>
        </w:tc>
        <w:tc>
          <w:tcPr>
            <w:tcW w:w="624" w:type="dxa"/>
          </w:tcPr>
          <w:p w14:paraId="395F9B49" w14:textId="77777777" w:rsidR="00BF48F6" w:rsidRDefault="00BF48F6" w:rsidP="00A47F96">
            <w:pPr>
              <w:pStyle w:val="TableText"/>
              <w:keepLines w:val="0"/>
            </w:pPr>
          </w:p>
        </w:tc>
        <w:tc>
          <w:tcPr>
            <w:tcW w:w="1873" w:type="dxa"/>
            <w:gridSpan w:val="3"/>
          </w:tcPr>
          <w:p w14:paraId="23D51D42" w14:textId="77777777" w:rsidR="00BF48F6" w:rsidRDefault="00BF48F6" w:rsidP="00A47F96">
            <w:pPr>
              <w:pStyle w:val="TableInnerSideHeading"/>
              <w:ind w:right="0"/>
            </w:pPr>
            <w:r w:rsidRPr="00C3237E">
              <w:rPr>
                <w:rtl/>
              </w:rPr>
              <w:t xml:space="preserve">הגבלות לעניין </w:t>
            </w:r>
            <w:r>
              <w:rPr>
                <w:rtl/>
              </w:rPr>
              <w:t>העברת המידע</w:t>
            </w:r>
            <w:r>
              <w:t xml:space="preserve"> </w:t>
            </w:r>
          </w:p>
        </w:tc>
        <w:tc>
          <w:tcPr>
            <w:tcW w:w="624" w:type="dxa"/>
          </w:tcPr>
          <w:p w14:paraId="41D0295E" w14:textId="77777777" w:rsidR="00BF48F6" w:rsidRDefault="00BF48F6" w:rsidP="00A47F96">
            <w:pPr>
              <w:pStyle w:val="TableText"/>
            </w:pPr>
            <w:r>
              <w:rPr>
                <w:rtl/>
              </w:rPr>
              <w:t>21ז.</w:t>
            </w:r>
          </w:p>
        </w:tc>
        <w:tc>
          <w:tcPr>
            <w:tcW w:w="4650" w:type="dxa"/>
            <w:gridSpan w:val="3"/>
          </w:tcPr>
          <w:p w14:paraId="69CFE46C" w14:textId="77777777" w:rsidR="00BF48F6" w:rsidRPr="00F24139" w:rsidRDefault="00BF48F6" w:rsidP="00A47F96">
            <w:pPr>
              <w:pStyle w:val="TableBlock"/>
            </w:pPr>
            <w:r w:rsidRPr="003438C3">
              <w:rPr>
                <w:rtl/>
              </w:rPr>
              <w:t>(א</w:t>
            </w:r>
            <w:r w:rsidRPr="00F24139">
              <w:rPr>
                <w:rtl/>
              </w:rPr>
              <w:t>)</w:t>
            </w:r>
            <w:r w:rsidRPr="00F24139">
              <w:rPr>
                <w:rtl/>
              </w:rPr>
              <w:tab/>
            </w:r>
            <w:r w:rsidRPr="00C3237E">
              <w:rPr>
                <w:rtl/>
              </w:rPr>
              <w:t xml:space="preserve">העברת </w:t>
            </w:r>
            <w:r>
              <w:rPr>
                <w:rtl/>
              </w:rPr>
              <w:t>מידע מהמערכת הממוחשבת לבית המרקחת</w:t>
            </w:r>
            <w:r w:rsidRPr="00C3237E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ובחזרה </w:t>
            </w:r>
            <w:r>
              <w:rPr>
                <w:rtl/>
              </w:rPr>
              <w:t>כאמור בסעיף 21</w:t>
            </w:r>
            <w:r>
              <w:rPr>
                <w:rFonts w:hint="cs"/>
                <w:rtl/>
              </w:rPr>
              <w:t>ו</w:t>
            </w:r>
            <w:r>
              <w:rPr>
                <w:rtl/>
              </w:rPr>
              <w:t xml:space="preserve"> </w:t>
            </w:r>
            <w:r w:rsidRPr="00C3237E">
              <w:rPr>
                <w:rtl/>
              </w:rPr>
              <w:t xml:space="preserve">והשימוש בו יהיו לשם ביצוע ההוראות לפי </w:t>
            </w:r>
            <w:r>
              <w:rPr>
                <w:rtl/>
              </w:rPr>
              <w:t>ה</w:t>
            </w:r>
            <w:r w:rsidRPr="00C3237E">
              <w:rPr>
                <w:rtl/>
              </w:rPr>
              <w:t>סעי</w:t>
            </w:r>
            <w:r>
              <w:rPr>
                <w:rtl/>
              </w:rPr>
              <w:t>ף</w:t>
            </w:r>
            <w:r w:rsidRPr="00C3237E">
              <w:rPr>
                <w:rtl/>
              </w:rPr>
              <w:t xml:space="preserve"> </w:t>
            </w:r>
            <w:r>
              <w:rPr>
                <w:rtl/>
              </w:rPr>
              <w:t>האמור</w:t>
            </w:r>
            <w:r w:rsidRPr="00C3237E">
              <w:rPr>
                <w:rtl/>
              </w:rPr>
              <w:t xml:space="preserve">, ובהיקף הנדרש לשם כך, בלבד; הוראות אלה יחולו גם לעניין הנתונים </w:t>
            </w:r>
            <w:r>
              <w:rPr>
                <w:rtl/>
              </w:rPr>
              <w:t>האמורים</w:t>
            </w:r>
            <w:r w:rsidRPr="00C3237E">
              <w:rPr>
                <w:rtl/>
              </w:rPr>
              <w:t xml:space="preserve"> בסעיף </w:t>
            </w:r>
            <w:r>
              <w:rPr>
                <w:rtl/>
              </w:rPr>
              <w:t>21ו(4).</w:t>
            </w:r>
          </w:p>
        </w:tc>
      </w:tr>
      <w:tr w:rsidR="00BF48F6" w14:paraId="64599BF5" w14:textId="77777777" w:rsidTr="00BF48F6">
        <w:trPr>
          <w:cantSplit/>
          <w:trHeight w:val="60"/>
        </w:trPr>
        <w:tc>
          <w:tcPr>
            <w:tcW w:w="1870" w:type="dxa"/>
          </w:tcPr>
          <w:p w14:paraId="70ADC5FE" w14:textId="77777777" w:rsidR="00BF48F6" w:rsidRDefault="00BF48F6" w:rsidP="00A47F96">
            <w:pPr>
              <w:pStyle w:val="TableSideHeading"/>
            </w:pPr>
          </w:p>
        </w:tc>
        <w:tc>
          <w:tcPr>
            <w:tcW w:w="624" w:type="dxa"/>
          </w:tcPr>
          <w:p w14:paraId="5591964F" w14:textId="77777777" w:rsidR="00BF48F6" w:rsidRDefault="00BF48F6" w:rsidP="00A47F96">
            <w:pPr>
              <w:pStyle w:val="TableText"/>
            </w:pPr>
          </w:p>
        </w:tc>
        <w:tc>
          <w:tcPr>
            <w:tcW w:w="624" w:type="dxa"/>
          </w:tcPr>
          <w:p w14:paraId="4D404A69" w14:textId="77777777" w:rsidR="00BF48F6" w:rsidRDefault="00BF48F6" w:rsidP="00A47F96">
            <w:pPr>
              <w:pStyle w:val="TableText"/>
            </w:pPr>
          </w:p>
        </w:tc>
        <w:tc>
          <w:tcPr>
            <w:tcW w:w="624" w:type="dxa"/>
          </w:tcPr>
          <w:p w14:paraId="367385B2" w14:textId="77777777" w:rsidR="00BF48F6" w:rsidRDefault="00BF48F6" w:rsidP="00A47F96">
            <w:pPr>
              <w:pStyle w:val="TableText"/>
            </w:pPr>
          </w:p>
        </w:tc>
        <w:tc>
          <w:tcPr>
            <w:tcW w:w="625" w:type="dxa"/>
          </w:tcPr>
          <w:p w14:paraId="08DCD88E" w14:textId="77777777" w:rsidR="00BF48F6" w:rsidRDefault="00BF48F6" w:rsidP="00A47F96">
            <w:pPr>
              <w:pStyle w:val="TableText"/>
            </w:pPr>
          </w:p>
        </w:tc>
        <w:tc>
          <w:tcPr>
            <w:tcW w:w="624" w:type="dxa"/>
          </w:tcPr>
          <w:p w14:paraId="1B6C7FBA" w14:textId="77777777" w:rsidR="00BF48F6" w:rsidRDefault="00BF48F6" w:rsidP="00A47F96">
            <w:pPr>
              <w:pStyle w:val="TableText"/>
            </w:pPr>
          </w:p>
        </w:tc>
        <w:tc>
          <w:tcPr>
            <w:tcW w:w="4650" w:type="dxa"/>
            <w:gridSpan w:val="3"/>
          </w:tcPr>
          <w:p w14:paraId="2C6CC8A1" w14:textId="77777777" w:rsidR="00BF48F6" w:rsidRDefault="00BF48F6" w:rsidP="00A47F96">
            <w:pPr>
              <w:pStyle w:val="TableBlock"/>
            </w:pPr>
            <w:r w:rsidRPr="003438C3">
              <w:rPr>
                <w:rtl/>
              </w:rPr>
              <w:t>(ב</w:t>
            </w:r>
            <w:r w:rsidRPr="00F24139">
              <w:rPr>
                <w:rtl/>
              </w:rPr>
              <w:t>)</w:t>
            </w:r>
            <w:r w:rsidRPr="00F24139">
              <w:rPr>
                <w:rtl/>
              </w:rPr>
              <w:tab/>
            </w:r>
            <w:r w:rsidRPr="00C3237E">
              <w:rPr>
                <w:rtl/>
              </w:rPr>
              <w:t xml:space="preserve">לא יעביר אדם מידע או נתונים אודות המידע, לא יעיין בהם בלא זכות גישה, ולא יעשה בהם שימוש או ישמור אותם, אלא לשם ביצוע ההוראות לפי סעיף </w:t>
            </w:r>
            <w:r>
              <w:rPr>
                <w:rtl/>
              </w:rPr>
              <w:t>2</w:t>
            </w:r>
            <w:r w:rsidRPr="00C3237E">
              <w:rPr>
                <w:rtl/>
              </w:rPr>
              <w:t>1</w:t>
            </w:r>
            <w:r>
              <w:rPr>
                <w:rFonts w:hint="cs"/>
                <w:rtl/>
              </w:rPr>
              <w:t>ו</w:t>
            </w:r>
            <w:r w:rsidRPr="00C3237E">
              <w:rPr>
                <w:rtl/>
              </w:rPr>
              <w:t xml:space="preserve"> ובהיקף הנדרש לשם כך.</w:t>
            </w:r>
            <w:r>
              <w:rPr>
                <w:rtl/>
              </w:rPr>
              <w:t>"</w:t>
            </w:r>
          </w:p>
        </w:tc>
      </w:tr>
      <w:tr w:rsidR="00BF48F6" w:rsidRPr="00C34DE2" w14:paraId="3EEA1EFD" w14:textId="77777777" w:rsidTr="00BF48F6">
        <w:trPr>
          <w:cantSplit/>
        </w:trPr>
        <w:tc>
          <w:tcPr>
            <w:tcW w:w="1870" w:type="dxa"/>
          </w:tcPr>
          <w:p w14:paraId="5CC0ED2E" w14:textId="77777777" w:rsidR="00BF48F6" w:rsidRDefault="00BF48F6" w:rsidP="00A47F96">
            <w:pPr>
              <w:pStyle w:val="TableSideHeading"/>
              <w:keepLines w:val="0"/>
            </w:pPr>
            <w:r w:rsidRPr="00954808">
              <w:rPr>
                <w:rtl/>
              </w:rPr>
              <w:t>תיקון סעיף 31</w:t>
            </w:r>
          </w:p>
        </w:tc>
        <w:tc>
          <w:tcPr>
            <w:tcW w:w="624" w:type="dxa"/>
          </w:tcPr>
          <w:p w14:paraId="7057DC1E" w14:textId="77777777" w:rsidR="00BF48F6" w:rsidRDefault="00BF48F6" w:rsidP="00A47F96">
            <w:pPr>
              <w:pStyle w:val="TableText"/>
              <w:keepLines w:val="0"/>
            </w:pPr>
            <w:r>
              <w:rPr>
                <w:rtl/>
              </w:rPr>
              <w:t>2.</w:t>
            </w:r>
          </w:p>
        </w:tc>
        <w:tc>
          <w:tcPr>
            <w:tcW w:w="7147" w:type="dxa"/>
            <w:gridSpan w:val="7"/>
          </w:tcPr>
          <w:p w14:paraId="75A46601" w14:textId="77777777" w:rsidR="00BF48F6" w:rsidRPr="00C34DE2" w:rsidRDefault="00BF48F6" w:rsidP="00A47F96">
            <w:pPr>
              <w:pStyle w:val="TableBlock"/>
            </w:pPr>
            <w:r w:rsidRPr="001B2EB9">
              <w:rPr>
                <w:rtl/>
              </w:rPr>
              <w:t>בסעיף 31 לחוק העיקרי</w:t>
            </w:r>
            <w:r>
              <w:rPr>
                <w:rtl/>
              </w:rPr>
              <w:t xml:space="preserve"> –</w:t>
            </w:r>
          </w:p>
        </w:tc>
      </w:tr>
      <w:tr w:rsidR="00BF48F6" w:rsidRPr="001B2EB9" w14:paraId="39A99602" w14:textId="77777777" w:rsidTr="00BF48F6">
        <w:trPr>
          <w:cantSplit/>
        </w:trPr>
        <w:tc>
          <w:tcPr>
            <w:tcW w:w="1870" w:type="dxa"/>
          </w:tcPr>
          <w:p w14:paraId="36B395AB" w14:textId="77777777" w:rsidR="00BF48F6" w:rsidRPr="00954808" w:rsidRDefault="00BF48F6" w:rsidP="00A47F96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624" w:type="dxa"/>
          </w:tcPr>
          <w:p w14:paraId="22819F15" w14:textId="77777777" w:rsidR="00BF48F6" w:rsidRDefault="00BF48F6" w:rsidP="00A47F96">
            <w:pPr>
              <w:pStyle w:val="TableText"/>
              <w:rPr>
                <w:rtl/>
              </w:rPr>
            </w:pPr>
          </w:p>
        </w:tc>
        <w:tc>
          <w:tcPr>
            <w:tcW w:w="7147" w:type="dxa"/>
            <w:gridSpan w:val="7"/>
          </w:tcPr>
          <w:p w14:paraId="61C0B9ED" w14:textId="77777777" w:rsidR="00BF48F6" w:rsidRPr="001B2EB9" w:rsidRDefault="00BF48F6" w:rsidP="00A47F96">
            <w:pPr>
              <w:pStyle w:val="TableBlock"/>
              <w:rPr>
                <w:rtl/>
              </w:rPr>
            </w:pPr>
            <w:r>
              <w:rPr>
                <w:rtl/>
              </w:rPr>
              <w:t>(1)</w:t>
            </w:r>
            <w:r>
              <w:rPr>
                <w:rtl/>
              </w:rPr>
              <w:tab/>
            </w:r>
            <w:r w:rsidRPr="001B2EB9">
              <w:rPr>
                <w:rtl/>
              </w:rPr>
              <w:t>אחרי "נותן שירותים" יבוא "ובית מרקחת"</w:t>
            </w:r>
            <w:r>
              <w:rPr>
                <w:rtl/>
              </w:rPr>
              <w:t>;</w:t>
            </w:r>
          </w:p>
        </w:tc>
      </w:tr>
      <w:tr w:rsidR="00BF48F6" w14:paraId="53A652C3" w14:textId="77777777" w:rsidTr="00BF48F6">
        <w:trPr>
          <w:cantSplit/>
        </w:trPr>
        <w:tc>
          <w:tcPr>
            <w:tcW w:w="1870" w:type="dxa"/>
          </w:tcPr>
          <w:p w14:paraId="39ECAD8F" w14:textId="77777777" w:rsidR="00BF48F6" w:rsidRPr="00954808" w:rsidRDefault="00BF48F6" w:rsidP="00A47F96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624" w:type="dxa"/>
          </w:tcPr>
          <w:p w14:paraId="47CB10D4" w14:textId="77777777" w:rsidR="00BF48F6" w:rsidRDefault="00BF48F6" w:rsidP="00A47F96">
            <w:pPr>
              <w:pStyle w:val="TableText"/>
              <w:rPr>
                <w:rtl/>
              </w:rPr>
            </w:pPr>
          </w:p>
        </w:tc>
        <w:tc>
          <w:tcPr>
            <w:tcW w:w="7147" w:type="dxa"/>
            <w:gridSpan w:val="7"/>
          </w:tcPr>
          <w:p w14:paraId="5451729A" w14:textId="77777777" w:rsidR="00BF48F6" w:rsidRDefault="00BF48F6" w:rsidP="00A47F96">
            <w:pPr>
              <w:pStyle w:val="TableBlock"/>
              <w:rPr>
                <w:rtl/>
              </w:rPr>
            </w:pPr>
            <w:r>
              <w:rPr>
                <w:rtl/>
              </w:rPr>
              <w:t>(2)</w:t>
            </w:r>
            <w:r>
              <w:rPr>
                <w:rtl/>
              </w:rPr>
              <w:tab/>
            </w:r>
            <w:r w:rsidRPr="001B2EB9">
              <w:rPr>
                <w:rtl/>
              </w:rPr>
              <w:t>אחרי "ללא הפליה בין נותני שירותים" יבוא "ובתי מרקחת"</w:t>
            </w:r>
            <w:r>
              <w:rPr>
                <w:rtl/>
              </w:rPr>
              <w:t>;</w:t>
            </w:r>
          </w:p>
        </w:tc>
      </w:tr>
      <w:tr w:rsidR="00BF48F6" w14:paraId="51FB7B12" w14:textId="77777777" w:rsidTr="00BF48F6">
        <w:trPr>
          <w:cantSplit/>
        </w:trPr>
        <w:tc>
          <w:tcPr>
            <w:tcW w:w="1870" w:type="dxa"/>
          </w:tcPr>
          <w:p w14:paraId="2EC1F45C" w14:textId="77777777" w:rsidR="00BF48F6" w:rsidRPr="00954808" w:rsidRDefault="00BF48F6" w:rsidP="00A47F96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624" w:type="dxa"/>
          </w:tcPr>
          <w:p w14:paraId="61C82804" w14:textId="77777777" w:rsidR="00BF48F6" w:rsidRDefault="00BF48F6" w:rsidP="00A47F96">
            <w:pPr>
              <w:pStyle w:val="TableText"/>
              <w:rPr>
                <w:rtl/>
              </w:rPr>
            </w:pPr>
          </w:p>
        </w:tc>
        <w:tc>
          <w:tcPr>
            <w:tcW w:w="7147" w:type="dxa"/>
            <w:gridSpan w:val="7"/>
          </w:tcPr>
          <w:p w14:paraId="56B3FCF1" w14:textId="77777777" w:rsidR="00BF48F6" w:rsidRDefault="00BF48F6" w:rsidP="00A47F96">
            <w:pPr>
              <w:pStyle w:val="TableBlock"/>
              <w:rPr>
                <w:rtl/>
              </w:rPr>
            </w:pPr>
            <w:r>
              <w:rPr>
                <w:rtl/>
              </w:rPr>
              <w:t>(3)</w:t>
            </w:r>
            <w:r>
              <w:rPr>
                <w:rtl/>
              </w:rPr>
              <w:tab/>
              <w:t>בסופו יבוא "לעניין זה, "בית מרקחת" – כהגדרתו בסעיף 21ג".</w:t>
            </w:r>
          </w:p>
        </w:tc>
      </w:tr>
      <w:tr w:rsidR="00776D34" w14:paraId="66A6209A" w14:textId="77777777" w:rsidTr="00BF48F6">
        <w:trPr>
          <w:cantSplit/>
        </w:trPr>
        <w:tc>
          <w:tcPr>
            <w:tcW w:w="1870" w:type="dxa"/>
          </w:tcPr>
          <w:p w14:paraId="3EE5956A" w14:textId="7FA5A589" w:rsidR="00776D34" w:rsidRPr="00954808" w:rsidRDefault="00776D34" w:rsidP="00A47F96">
            <w:pPr>
              <w:pStyle w:val="TableSideHeading"/>
              <w:keepLines w:val="0"/>
              <w:rPr>
                <w:rtl/>
              </w:rPr>
            </w:pPr>
            <w:r>
              <w:rPr>
                <w:rFonts w:hint="cs"/>
                <w:rtl/>
              </w:rPr>
              <w:t>הוראות ראשונות</w:t>
            </w:r>
          </w:p>
        </w:tc>
        <w:tc>
          <w:tcPr>
            <w:tcW w:w="624" w:type="dxa"/>
          </w:tcPr>
          <w:p w14:paraId="08A1C8E5" w14:textId="1033E2F2" w:rsidR="00776D34" w:rsidRDefault="00776D34" w:rsidP="00A47F96">
            <w:pPr>
              <w:pStyle w:val="TableText"/>
              <w:rPr>
                <w:rtl/>
              </w:rPr>
            </w:pPr>
            <w:r>
              <w:rPr>
                <w:rFonts w:hint="cs"/>
                <w:rtl/>
              </w:rPr>
              <w:t>3.</w:t>
            </w:r>
          </w:p>
        </w:tc>
        <w:tc>
          <w:tcPr>
            <w:tcW w:w="7147" w:type="dxa"/>
            <w:gridSpan w:val="7"/>
          </w:tcPr>
          <w:p w14:paraId="41A4B44F" w14:textId="1239C7ED" w:rsidR="00776D34" w:rsidRDefault="00776D34" w:rsidP="00BB2E7B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השר יקבע הוראות ראשונות לפי סעיפים 21ה(ג) ו-21ו(ב) לחוק העיקרי</w:t>
            </w:r>
            <w:r w:rsidR="00BB2E7B">
              <w:rPr>
                <w:rFonts w:hint="cs"/>
                <w:rtl/>
              </w:rPr>
              <w:t>,</w:t>
            </w:r>
            <w:r>
              <w:rPr>
                <w:rFonts w:hint="cs"/>
                <w:rtl/>
              </w:rPr>
              <w:t xml:space="preserve"> כנוסחו בחוק זה, בתוך 90 ימים מיום </w:t>
            </w:r>
            <w:r w:rsidR="00BB2E7B">
              <w:rPr>
                <w:rFonts w:hint="cs"/>
                <w:rtl/>
              </w:rPr>
              <w:t>פרסומו</w:t>
            </w:r>
            <w:r>
              <w:rPr>
                <w:rFonts w:hint="cs"/>
                <w:rtl/>
              </w:rPr>
              <w:t xml:space="preserve"> של חוק זה. </w:t>
            </w:r>
          </w:p>
        </w:tc>
      </w:tr>
    </w:tbl>
    <w:p w14:paraId="7F6961CA" w14:textId="77777777" w:rsidR="002D1EE3" w:rsidRDefault="002D1EE3" w:rsidP="002D1EE3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14:paraId="6171C522" w14:textId="0454036B" w:rsidR="00BF48F6" w:rsidRPr="00BF48F6" w:rsidRDefault="00BF48F6" w:rsidP="00776D34">
      <w:pPr>
        <w:pStyle w:val="Hesber"/>
        <w:rPr>
          <w:rtl/>
        </w:rPr>
      </w:pPr>
      <w:r w:rsidRPr="00BF48F6">
        <w:rPr>
          <w:rFonts w:hint="cs"/>
          <w:rtl/>
        </w:rPr>
        <w:t>רכישת תרופות מרשם היא צורך בסיסי של כל אדם</w:t>
      </w:r>
      <w:r w:rsidR="00776D34">
        <w:rPr>
          <w:rFonts w:hint="cs"/>
          <w:rtl/>
        </w:rPr>
        <w:t>. שירות</w:t>
      </w:r>
      <w:r w:rsidRPr="00BF48F6">
        <w:rPr>
          <w:rFonts w:hint="cs"/>
          <w:rtl/>
        </w:rPr>
        <w:t xml:space="preserve"> זה נדרש </w:t>
      </w:r>
      <w:r>
        <w:rPr>
          <w:rFonts w:hint="cs"/>
          <w:rtl/>
        </w:rPr>
        <w:t>לרוב</w:t>
      </w:r>
      <w:r w:rsidRPr="00BF48F6">
        <w:rPr>
          <w:rFonts w:hint="cs"/>
          <w:rtl/>
        </w:rPr>
        <w:t xml:space="preserve"> במצבים של חוסר נוחות וחולי</w:t>
      </w:r>
      <w:r w:rsidR="00776D34">
        <w:rPr>
          <w:rFonts w:hint="cs"/>
          <w:rtl/>
        </w:rPr>
        <w:t xml:space="preserve">, </w:t>
      </w:r>
      <w:r w:rsidR="00BB2E7B">
        <w:rPr>
          <w:rFonts w:hint="cs"/>
          <w:rtl/>
        </w:rPr>
        <w:t>ש</w:t>
      </w:r>
      <w:r w:rsidR="00776D34">
        <w:rPr>
          <w:rFonts w:hint="cs"/>
          <w:rtl/>
        </w:rPr>
        <w:t xml:space="preserve">בהם מתחדד הצורך לרכוש את התכשיר </w:t>
      </w:r>
      <w:r w:rsidR="004646DB" w:rsidRPr="00BF48F6">
        <w:rPr>
          <w:rFonts w:hint="cs"/>
          <w:rtl/>
        </w:rPr>
        <w:t>ב</w:t>
      </w:r>
      <w:r w:rsidR="004646DB">
        <w:rPr>
          <w:rFonts w:hint="cs"/>
          <w:rtl/>
        </w:rPr>
        <w:t>בית המרקחת</w:t>
      </w:r>
      <w:r w:rsidR="004646DB" w:rsidRPr="00BF48F6">
        <w:rPr>
          <w:rFonts w:hint="cs"/>
          <w:rtl/>
        </w:rPr>
        <w:t xml:space="preserve"> </w:t>
      </w:r>
      <w:r w:rsidRPr="00BF48F6">
        <w:rPr>
          <w:rFonts w:hint="cs"/>
          <w:rtl/>
        </w:rPr>
        <w:t>הקרוב ביותר</w:t>
      </w:r>
      <w:r w:rsidR="00776D34">
        <w:rPr>
          <w:rFonts w:hint="cs"/>
          <w:rtl/>
        </w:rPr>
        <w:t xml:space="preserve"> למקום המגורים.</w:t>
      </w:r>
    </w:p>
    <w:p w14:paraId="1740F55A" w14:textId="64C5EAA6" w:rsidR="00BF48F6" w:rsidRPr="00BF48F6" w:rsidRDefault="00BF48F6" w:rsidP="00BB2E7B">
      <w:pPr>
        <w:pStyle w:val="Hesber"/>
        <w:rPr>
          <w:rtl/>
        </w:rPr>
      </w:pPr>
      <w:r w:rsidRPr="00BF48F6">
        <w:rPr>
          <w:rFonts w:hint="cs"/>
          <w:rtl/>
        </w:rPr>
        <w:t xml:space="preserve">קופות החולים </w:t>
      </w:r>
      <w:r w:rsidR="004646DB">
        <w:rPr>
          <w:rFonts w:hint="cs"/>
          <w:rtl/>
        </w:rPr>
        <w:t>מגבילות את</w:t>
      </w:r>
      <w:r w:rsidR="004646DB" w:rsidRPr="00BF48F6">
        <w:rPr>
          <w:rFonts w:hint="cs"/>
          <w:rtl/>
        </w:rPr>
        <w:t xml:space="preserve"> </w:t>
      </w:r>
      <w:r w:rsidRPr="00BF48F6">
        <w:rPr>
          <w:rFonts w:hint="cs"/>
          <w:rtl/>
        </w:rPr>
        <w:t xml:space="preserve">חבריהן </w:t>
      </w:r>
      <w:r w:rsidR="004646DB">
        <w:rPr>
          <w:rFonts w:hint="cs"/>
          <w:rtl/>
        </w:rPr>
        <w:t xml:space="preserve">במימוש </w:t>
      </w:r>
      <w:r w:rsidRPr="00BF48F6">
        <w:rPr>
          <w:rFonts w:hint="cs"/>
          <w:rtl/>
        </w:rPr>
        <w:t>המרשם</w:t>
      </w:r>
      <w:r>
        <w:rPr>
          <w:rFonts w:hint="cs"/>
          <w:rtl/>
        </w:rPr>
        <w:t xml:space="preserve"> בעלות השתתפות עצמית</w:t>
      </w:r>
      <w:r w:rsidRPr="00BF48F6">
        <w:rPr>
          <w:rFonts w:hint="cs"/>
          <w:rtl/>
        </w:rPr>
        <w:t xml:space="preserve"> </w:t>
      </w:r>
      <w:r w:rsidR="004646DB">
        <w:rPr>
          <w:rFonts w:hint="cs"/>
          <w:rtl/>
        </w:rPr>
        <w:t>רק ל</w:t>
      </w:r>
      <w:r w:rsidRPr="00BF48F6">
        <w:rPr>
          <w:rFonts w:hint="cs"/>
          <w:rtl/>
        </w:rPr>
        <w:t xml:space="preserve">בתי </w:t>
      </w:r>
      <w:r w:rsidR="004646DB">
        <w:rPr>
          <w:rFonts w:hint="cs"/>
          <w:rtl/>
        </w:rPr>
        <w:t>ה</w:t>
      </w:r>
      <w:r w:rsidRPr="00BF48F6">
        <w:rPr>
          <w:rFonts w:hint="cs"/>
          <w:rtl/>
        </w:rPr>
        <w:t xml:space="preserve">מרקחת שבבעלותן או שנמצאים בהסדר איתן. </w:t>
      </w:r>
      <w:r w:rsidR="00776D34">
        <w:rPr>
          <w:rFonts w:hint="cs"/>
          <w:rtl/>
        </w:rPr>
        <w:t xml:space="preserve">כמו כן, </w:t>
      </w:r>
      <w:r w:rsidRPr="00BF48F6">
        <w:rPr>
          <w:rtl/>
        </w:rPr>
        <w:t xml:space="preserve">לא </w:t>
      </w:r>
      <w:r w:rsidRPr="00BF48F6">
        <w:rPr>
          <w:rFonts w:hint="cs"/>
          <w:rtl/>
        </w:rPr>
        <w:t>ניתן</w:t>
      </w:r>
      <w:r w:rsidRPr="00BF48F6">
        <w:rPr>
          <w:rtl/>
        </w:rPr>
        <w:t xml:space="preserve"> לעשות שימוש במרשם </w:t>
      </w:r>
      <w:r w:rsidR="00776D34">
        <w:rPr>
          <w:rFonts w:hint="cs"/>
          <w:rtl/>
        </w:rPr>
        <w:t xml:space="preserve">אלקטרוני </w:t>
      </w:r>
      <w:r w:rsidRPr="00BF48F6">
        <w:rPr>
          <w:rtl/>
        </w:rPr>
        <w:t xml:space="preserve">בבתי המרקחת </w:t>
      </w:r>
      <w:r w:rsidRPr="00BF48F6">
        <w:rPr>
          <w:rFonts w:hint="cs"/>
          <w:rtl/>
        </w:rPr>
        <w:t xml:space="preserve">שאינם של </w:t>
      </w:r>
      <w:r w:rsidR="002D2D80">
        <w:rPr>
          <w:rFonts w:hint="cs"/>
          <w:rtl/>
        </w:rPr>
        <w:t xml:space="preserve">קופת חולים משום שאין להם </w:t>
      </w:r>
      <w:r w:rsidRPr="00BF48F6">
        <w:rPr>
          <w:rFonts w:hint="cs"/>
          <w:rtl/>
        </w:rPr>
        <w:t>חיבור</w:t>
      </w:r>
      <w:r w:rsidRPr="00BF48F6">
        <w:rPr>
          <w:rtl/>
        </w:rPr>
        <w:t xml:space="preserve"> למערכת הממוחשבת של קופת החולים</w:t>
      </w:r>
      <w:r w:rsidR="002D2D80">
        <w:rPr>
          <w:rFonts w:hint="cs"/>
          <w:rtl/>
        </w:rPr>
        <w:t>, ולכן לא ניתן לקנות בבתי מרקחת כאמור תרופות מרשם</w:t>
      </w:r>
      <w:r w:rsidR="00867F2C">
        <w:rPr>
          <w:rFonts w:hint="cs"/>
          <w:rtl/>
        </w:rPr>
        <w:t xml:space="preserve"> על פי מרשם אלקטרוני</w:t>
      </w:r>
      <w:r w:rsidR="002D2D80">
        <w:rPr>
          <w:rFonts w:hint="cs"/>
          <w:rtl/>
        </w:rPr>
        <w:t>, אף לא במחיר מלא.</w:t>
      </w:r>
    </w:p>
    <w:p w14:paraId="5CE804FE" w14:textId="030055E5" w:rsidR="00BF48F6" w:rsidRPr="00BF48F6" w:rsidRDefault="00BF48F6" w:rsidP="006C54CA">
      <w:pPr>
        <w:pStyle w:val="Hesber"/>
        <w:rPr>
          <w:rtl/>
        </w:rPr>
      </w:pPr>
      <w:r w:rsidRPr="00BF48F6">
        <w:rPr>
          <w:rFonts w:hint="cs"/>
          <w:rtl/>
        </w:rPr>
        <w:t>כחלק מהמאבק ביוקר המחיה בישראל, יש לפתוח את שוק בתי המרקחת לתחרות</w:t>
      </w:r>
      <w:r>
        <w:rPr>
          <w:rFonts w:hint="cs"/>
          <w:rtl/>
        </w:rPr>
        <w:t xml:space="preserve"> </w:t>
      </w:r>
      <w:r w:rsidR="004646DB">
        <w:rPr>
          <w:rFonts w:hint="cs"/>
          <w:rtl/>
        </w:rPr>
        <w:t>חופשית</w:t>
      </w:r>
      <w:r w:rsidRPr="00BF48F6">
        <w:rPr>
          <w:rFonts w:hint="cs"/>
          <w:rtl/>
        </w:rPr>
        <w:t xml:space="preserve">, ולאפשר לכל </w:t>
      </w:r>
      <w:r w:rsidR="002D2D80">
        <w:rPr>
          <w:rFonts w:hint="cs"/>
          <w:rtl/>
        </w:rPr>
        <w:t>אדם</w:t>
      </w:r>
      <w:r w:rsidRPr="00BF48F6">
        <w:rPr>
          <w:rFonts w:hint="cs"/>
          <w:rtl/>
        </w:rPr>
        <w:t xml:space="preserve"> לבחור </w:t>
      </w:r>
      <w:r w:rsidR="00E62A30">
        <w:rPr>
          <w:rFonts w:hint="cs"/>
          <w:rtl/>
        </w:rPr>
        <w:t>היכן</w:t>
      </w:r>
      <w:r w:rsidRPr="00BF48F6">
        <w:rPr>
          <w:rFonts w:hint="cs"/>
          <w:rtl/>
        </w:rPr>
        <w:t xml:space="preserve"> לקנות את תרופותיו בהתאם לשיקולי קרבה,</w:t>
      </w:r>
      <w:r w:rsidR="007F313B">
        <w:rPr>
          <w:rFonts w:hint="cs"/>
          <w:rtl/>
        </w:rPr>
        <w:t xml:space="preserve"> עלות, זמינות</w:t>
      </w:r>
      <w:r>
        <w:rPr>
          <w:rFonts w:hint="cs"/>
          <w:rtl/>
        </w:rPr>
        <w:t xml:space="preserve"> ואיכות השירות</w:t>
      </w:r>
      <w:r w:rsidRPr="00BF48F6">
        <w:rPr>
          <w:rFonts w:hint="cs"/>
          <w:rtl/>
        </w:rPr>
        <w:t xml:space="preserve">. </w:t>
      </w:r>
    </w:p>
    <w:p w14:paraId="4C147A6F" w14:textId="752EF26F" w:rsidR="00BF48F6" w:rsidRDefault="00BF48F6" w:rsidP="002D2D80">
      <w:pPr>
        <w:pStyle w:val="Hesber"/>
        <w:rPr>
          <w:rtl/>
        </w:rPr>
      </w:pPr>
      <w:r w:rsidRPr="00BF48F6">
        <w:rPr>
          <w:rFonts w:hint="cs"/>
          <w:rtl/>
        </w:rPr>
        <w:t xml:space="preserve">מטרת הצעת </w:t>
      </w:r>
      <w:r w:rsidR="00E62A30">
        <w:rPr>
          <w:rFonts w:hint="cs"/>
          <w:rtl/>
        </w:rPr>
        <w:t>ה</w:t>
      </w:r>
      <w:r w:rsidRPr="00BF48F6">
        <w:rPr>
          <w:rFonts w:hint="cs"/>
          <w:rtl/>
        </w:rPr>
        <w:t>חוק היא</w:t>
      </w:r>
      <w:r w:rsidRPr="00BF48F6">
        <w:rPr>
          <w:rtl/>
        </w:rPr>
        <w:t xml:space="preserve"> לאפשר</w:t>
      </w:r>
      <w:r w:rsidRPr="00BF48F6">
        <w:rPr>
          <w:rFonts w:hint="cs"/>
          <w:rtl/>
        </w:rPr>
        <w:t xml:space="preserve"> </w:t>
      </w:r>
      <w:r w:rsidR="002D2D80">
        <w:rPr>
          <w:rFonts w:hint="cs"/>
          <w:rtl/>
        </w:rPr>
        <w:t>לממש מרשמים, לרבות מרשמים אלקטרוניים ב</w:t>
      </w:r>
      <w:r w:rsidRPr="00BF48F6">
        <w:rPr>
          <w:rFonts w:hint="cs"/>
          <w:rtl/>
        </w:rPr>
        <w:t xml:space="preserve">כל בית מרקחת ברחבי הארץ, </w:t>
      </w:r>
      <w:r w:rsidR="002D2D80">
        <w:rPr>
          <w:rFonts w:hint="cs"/>
          <w:rtl/>
        </w:rPr>
        <w:t>ללא ת</w:t>
      </w:r>
      <w:r w:rsidR="003B6E69">
        <w:rPr>
          <w:rFonts w:hint="cs"/>
          <w:rtl/>
        </w:rPr>
        <w:t>לות בשאלה באיזו</w:t>
      </w:r>
      <w:bookmarkStart w:id="8" w:name="_GoBack"/>
      <w:bookmarkEnd w:id="8"/>
      <w:r w:rsidR="002D2D80">
        <w:rPr>
          <w:rFonts w:hint="cs"/>
          <w:rtl/>
        </w:rPr>
        <w:t xml:space="preserve"> קופת חולים מדובר.</w:t>
      </w:r>
      <w:r w:rsidRPr="00BF48F6">
        <w:rPr>
          <w:rFonts w:hint="cs"/>
          <w:rtl/>
        </w:rPr>
        <w:t xml:space="preserve"> </w:t>
      </w:r>
    </w:p>
    <w:p w14:paraId="6739E3CA" w14:textId="63DF6A7F" w:rsidR="00270546" w:rsidRDefault="00270546" w:rsidP="00270546">
      <w:pPr>
        <w:pStyle w:val="Hesber"/>
        <w:rPr>
          <w:rtl/>
        </w:rPr>
      </w:pPr>
      <w:r w:rsidRPr="00270546">
        <w:rPr>
          <w:rFonts w:hint="cs"/>
          <w:rtl/>
        </w:rPr>
        <w:t xml:space="preserve">הצעות חוק </w:t>
      </w:r>
      <w:r>
        <w:rPr>
          <w:rFonts w:hint="cs"/>
          <w:rtl/>
        </w:rPr>
        <w:t xml:space="preserve">דומות בעיקרן הונחו על שולחן הכנסת התשע-עשרה </w:t>
      </w:r>
      <w:r w:rsidRPr="00270546">
        <w:rPr>
          <w:rFonts w:hint="cs"/>
          <w:rtl/>
        </w:rPr>
        <w:t>על ידי חברת הכנסת גילה גמליאל וקבוצת חברי הכנסת (</w:t>
      </w:r>
      <w:r w:rsidR="00BB2E7B">
        <w:rPr>
          <w:rFonts w:hint="cs"/>
          <w:rtl/>
        </w:rPr>
        <w:t>פ/</w:t>
      </w:r>
      <w:r w:rsidRPr="00270546">
        <w:rPr>
          <w:rFonts w:hint="cs"/>
          <w:rtl/>
        </w:rPr>
        <w:t>2572/19),</w:t>
      </w:r>
      <w:r w:rsidRPr="00270546" w:rsidDel="00CE3C67">
        <w:rPr>
          <w:rFonts w:hint="cs"/>
          <w:rtl/>
        </w:rPr>
        <w:t xml:space="preserve"> </w:t>
      </w:r>
      <w:r w:rsidRPr="00270546">
        <w:rPr>
          <w:rFonts w:hint="cs"/>
          <w:rtl/>
        </w:rPr>
        <w:t xml:space="preserve"> ועל שולחן הכנסת העשרים </w:t>
      </w:r>
      <w:r>
        <w:rPr>
          <w:rFonts w:hint="cs"/>
          <w:rtl/>
        </w:rPr>
        <w:t xml:space="preserve">על ידי חברת הכנסת גילה גמליאל וקבוצת חברי הכנסת </w:t>
      </w:r>
      <w:r w:rsidRPr="00270546">
        <w:rPr>
          <w:rFonts w:hint="cs"/>
          <w:rtl/>
        </w:rPr>
        <w:t>(פ/366/20)</w:t>
      </w:r>
      <w:r w:rsidR="00BB2E7B">
        <w:rPr>
          <w:rFonts w:hint="cs"/>
          <w:rtl/>
        </w:rPr>
        <w:t>,</w:t>
      </w:r>
      <w:r>
        <w:rPr>
          <w:rFonts w:hint="cs"/>
          <w:rtl/>
        </w:rPr>
        <w:t xml:space="preserve"> ו</w:t>
      </w:r>
      <w:r w:rsidRPr="00270546">
        <w:rPr>
          <w:rFonts w:hint="cs"/>
          <w:rtl/>
        </w:rPr>
        <w:t xml:space="preserve">על ידי חבר הכנסת עודד פורר וקבוצת חברי </w:t>
      </w:r>
      <w:r>
        <w:rPr>
          <w:rFonts w:hint="cs"/>
          <w:rtl/>
        </w:rPr>
        <w:t>ה</w:t>
      </w:r>
      <w:r w:rsidRPr="00270546">
        <w:rPr>
          <w:rFonts w:hint="cs"/>
          <w:rtl/>
        </w:rPr>
        <w:t>כנסת (פ/4512/20).</w:t>
      </w:r>
    </w:p>
    <w:p w14:paraId="67310C09" w14:textId="77777777" w:rsidR="002124C8" w:rsidRPr="00D73212" w:rsidRDefault="002124C8" w:rsidP="002124C8">
      <w:pPr>
        <w:pStyle w:val="Hesber"/>
        <w:rPr>
          <w:color w:val="auto"/>
          <w:rtl/>
          <w:lang w:eastAsia="en-US"/>
        </w:rPr>
      </w:pPr>
      <w:r w:rsidRPr="00D73212">
        <w:rPr>
          <w:color w:val="auto"/>
          <w:rtl/>
          <w:lang w:eastAsia="en-US"/>
        </w:rPr>
        <w:t>---------------------------------</w:t>
      </w:r>
    </w:p>
    <w:p w14:paraId="5FA7A19D" w14:textId="77777777" w:rsidR="002124C8" w:rsidRPr="00D73212" w:rsidRDefault="002124C8" w:rsidP="002124C8">
      <w:pPr>
        <w:pStyle w:val="Hesber"/>
        <w:rPr>
          <w:color w:val="auto"/>
          <w:rtl/>
          <w:lang w:eastAsia="en-US"/>
        </w:rPr>
      </w:pPr>
      <w:r w:rsidRPr="00D73212">
        <w:rPr>
          <w:rFonts w:hint="cs"/>
          <w:color w:val="auto"/>
          <w:rtl/>
          <w:lang w:eastAsia="en-US"/>
        </w:rPr>
        <w:t>הוגשה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ליו</w:t>
      </w:r>
      <w:r w:rsidRPr="00D73212">
        <w:rPr>
          <w:color w:val="auto"/>
          <w:rtl/>
          <w:lang w:eastAsia="en-US"/>
        </w:rPr>
        <w:t>"</w:t>
      </w:r>
      <w:r w:rsidRPr="00D73212">
        <w:rPr>
          <w:rFonts w:hint="cs"/>
          <w:color w:val="auto"/>
          <w:rtl/>
          <w:lang w:eastAsia="en-US"/>
        </w:rPr>
        <w:t>ר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הכנסת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והסגנים</w:t>
      </w:r>
    </w:p>
    <w:p w14:paraId="3CEFF6E7" w14:textId="77777777" w:rsidR="002124C8" w:rsidRPr="00D73212" w:rsidRDefault="002124C8" w:rsidP="002124C8">
      <w:pPr>
        <w:pStyle w:val="Hesber"/>
        <w:rPr>
          <w:color w:val="auto"/>
          <w:rtl/>
          <w:lang w:eastAsia="en-US"/>
        </w:rPr>
      </w:pPr>
      <w:r w:rsidRPr="00D73212">
        <w:rPr>
          <w:rFonts w:hint="cs"/>
          <w:color w:val="auto"/>
          <w:rtl/>
          <w:lang w:eastAsia="en-US"/>
        </w:rPr>
        <w:t>והונחה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על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שולחן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הכנסת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ביום</w:t>
      </w:r>
    </w:p>
    <w:p w14:paraId="5CDFC0DA" w14:textId="77777777" w:rsidR="002124C8" w:rsidRPr="00317312" w:rsidRDefault="002124C8" w:rsidP="002124C8">
      <w:pPr>
        <w:pStyle w:val="Hesber"/>
      </w:pPr>
      <w:r>
        <w:rPr>
          <w:rFonts w:hint="cs"/>
          <w:color w:val="auto"/>
          <w:rtl/>
          <w:lang w:eastAsia="en-US"/>
        </w:rPr>
        <w:t>ג' בחשוון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התשע</w:t>
      </w:r>
      <w:r w:rsidRPr="00D73212">
        <w:rPr>
          <w:color w:val="auto"/>
          <w:rtl/>
          <w:lang w:eastAsia="en-US"/>
        </w:rPr>
        <w:t>"</w:t>
      </w:r>
      <w:r>
        <w:rPr>
          <w:rFonts w:hint="cs"/>
          <w:color w:val="auto"/>
          <w:rtl/>
          <w:lang w:eastAsia="en-US"/>
        </w:rPr>
        <w:t>ז</w:t>
      </w:r>
      <w:r w:rsidRPr="00D73212">
        <w:rPr>
          <w:color w:val="auto"/>
          <w:rtl/>
          <w:lang w:eastAsia="en-US"/>
        </w:rPr>
        <w:t xml:space="preserve"> – </w:t>
      </w:r>
      <w:r>
        <w:rPr>
          <w:rFonts w:hint="cs"/>
          <w:color w:val="auto"/>
          <w:rtl/>
          <w:lang w:eastAsia="en-US"/>
        </w:rPr>
        <w:t>23.10</w:t>
      </w:r>
      <w:r w:rsidRPr="00D73212">
        <w:rPr>
          <w:color w:val="auto"/>
          <w:rtl/>
          <w:lang w:eastAsia="en-US"/>
        </w:rPr>
        <w:t>.</w:t>
      </w:r>
      <w:r>
        <w:rPr>
          <w:rFonts w:hint="cs"/>
          <w:color w:val="auto"/>
          <w:rtl/>
          <w:lang w:eastAsia="en-US"/>
        </w:rPr>
        <w:t>17</w:t>
      </w:r>
    </w:p>
    <w:p w14:paraId="3BD900EC" w14:textId="77777777" w:rsidR="002124C8" w:rsidRPr="00270546" w:rsidRDefault="002124C8" w:rsidP="00270546">
      <w:pPr>
        <w:pStyle w:val="Hesber"/>
      </w:pPr>
    </w:p>
    <w:p w14:paraId="239FBB0E" w14:textId="77777777" w:rsidR="00270546" w:rsidRPr="00BF48F6" w:rsidRDefault="00270546" w:rsidP="00BF48F6">
      <w:pPr>
        <w:pStyle w:val="Hesber"/>
        <w:rPr>
          <w:rtl/>
        </w:rPr>
      </w:pPr>
    </w:p>
    <w:p w14:paraId="7F6961CB" w14:textId="77777777" w:rsidR="00E13C27" w:rsidRDefault="00E13C27" w:rsidP="00E13C27">
      <w:pPr>
        <w:pStyle w:val="Hesber"/>
        <w:rPr>
          <w:rtl/>
        </w:rPr>
      </w:pPr>
    </w:p>
    <w:sectPr w:rsidR="00E13C27" w:rsidSect="001207F8">
      <w:footerReference w:type="even" r:id="rId11"/>
      <w:footerReference w:type="default" r:id="rId12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488A69" w14:textId="77777777" w:rsidR="00A942C1" w:rsidRDefault="00A942C1">
      <w:r>
        <w:separator/>
      </w:r>
    </w:p>
  </w:endnote>
  <w:endnote w:type="continuationSeparator" w:id="0">
    <w:p w14:paraId="318F26FB" w14:textId="77777777" w:rsidR="00A942C1" w:rsidRDefault="00A942C1">
      <w:r>
        <w:continuationSeparator/>
      </w:r>
    </w:p>
  </w:endnote>
  <w:endnote w:type="continuationNotice" w:id="1">
    <w:p w14:paraId="6BE48FD5" w14:textId="77777777" w:rsidR="00A942C1" w:rsidRDefault="00A942C1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end"/>
    </w:r>
  </w:p>
  <w:p w14:paraId="7F6961D6" w14:textId="77777777" w:rsidR="002C3041" w:rsidRDefault="002C304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separate"/>
    </w:r>
    <w:r w:rsidR="003B6E69">
      <w:rPr>
        <w:rStyle w:val="ab"/>
        <w:noProof/>
        <w:rtl/>
      </w:rPr>
      <w:t>3</w:t>
    </w:r>
    <w:r>
      <w:rPr>
        <w:rStyle w:val="ab"/>
        <w:rtl/>
      </w:rPr>
      <w:fldChar w:fldCharType="end"/>
    </w:r>
  </w:p>
  <w:p w14:paraId="7F6961D8" w14:textId="77777777" w:rsidR="002C3041" w:rsidRDefault="002C304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67B9F2" w14:textId="77777777" w:rsidR="00A942C1" w:rsidRDefault="00A942C1">
      <w:r>
        <w:separator/>
      </w:r>
    </w:p>
  </w:footnote>
  <w:footnote w:type="continuationSeparator" w:id="0">
    <w:p w14:paraId="3DB92342" w14:textId="77777777" w:rsidR="00A942C1" w:rsidRDefault="00A942C1">
      <w:r>
        <w:continuationSeparator/>
      </w:r>
    </w:p>
  </w:footnote>
  <w:footnote w:type="continuationNotice" w:id="1">
    <w:p w14:paraId="16009878" w14:textId="77777777" w:rsidR="00A942C1" w:rsidRDefault="00A942C1"/>
  </w:footnote>
  <w:footnote w:id="2">
    <w:p w14:paraId="37AD535B" w14:textId="77777777" w:rsidR="00BF48F6" w:rsidRDefault="00BF48F6" w:rsidP="00BF48F6">
      <w:pPr>
        <w:pStyle w:val="a4"/>
      </w:pPr>
      <w:r>
        <w:rPr>
          <w:rStyle w:val="a6"/>
        </w:rPr>
        <w:footnoteRef/>
      </w:r>
      <w:r>
        <w:rPr>
          <w:rtl/>
        </w:rPr>
        <w:t xml:space="preserve"> ס"ח התשנ"ד, עמ' 156.</w:t>
      </w:r>
    </w:p>
  </w:footnote>
  <w:footnote w:id="3">
    <w:p w14:paraId="438CD223" w14:textId="77777777" w:rsidR="00D61DFF" w:rsidRDefault="00D61DFF" w:rsidP="00D61DFF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ס"ח התשס"א, עמ' 210.</w:t>
      </w:r>
    </w:p>
  </w:footnote>
  <w:footnote w:id="4">
    <w:p w14:paraId="2E373138" w14:textId="1C96A6E4" w:rsidR="00680A19" w:rsidRDefault="00680A19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ס"ח התשנ"ו, עמ' 192.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3A3E"/>
    <w:rsid w:val="00072CAC"/>
    <w:rsid w:val="0007681A"/>
    <w:rsid w:val="000A542E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C23B0"/>
    <w:rsid w:val="001D7AAF"/>
    <w:rsid w:val="00203A7F"/>
    <w:rsid w:val="002124C8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0546"/>
    <w:rsid w:val="002728B4"/>
    <w:rsid w:val="0027600C"/>
    <w:rsid w:val="00292712"/>
    <w:rsid w:val="002A487D"/>
    <w:rsid w:val="002C2E29"/>
    <w:rsid w:val="002C3041"/>
    <w:rsid w:val="002D1EE3"/>
    <w:rsid w:val="002D2D80"/>
    <w:rsid w:val="002F1D80"/>
    <w:rsid w:val="003232A2"/>
    <w:rsid w:val="00325C14"/>
    <w:rsid w:val="0036422C"/>
    <w:rsid w:val="003710F6"/>
    <w:rsid w:val="00386E88"/>
    <w:rsid w:val="00396585"/>
    <w:rsid w:val="003B6E69"/>
    <w:rsid w:val="003D6E38"/>
    <w:rsid w:val="003D74A0"/>
    <w:rsid w:val="004033D8"/>
    <w:rsid w:val="004073F0"/>
    <w:rsid w:val="00412A7D"/>
    <w:rsid w:val="00416B4D"/>
    <w:rsid w:val="00417CFC"/>
    <w:rsid w:val="004646DB"/>
    <w:rsid w:val="004A06DC"/>
    <w:rsid w:val="004B24ED"/>
    <w:rsid w:val="004B6625"/>
    <w:rsid w:val="004D2D82"/>
    <w:rsid w:val="004D3876"/>
    <w:rsid w:val="004E024D"/>
    <w:rsid w:val="004E4552"/>
    <w:rsid w:val="004E6CDF"/>
    <w:rsid w:val="00516112"/>
    <w:rsid w:val="00553C9D"/>
    <w:rsid w:val="00562A66"/>
    <w:rsid w:val="005B064E"/>
    <w:rsid w:val="005D51AE"/>
    <w:rsid w:val="005E0C9E"/>
    <w:rsid w:val="0062674B"/>
    <w:rsid w:val="006363B2"/>
    <w:rsid w:val="00644940"/>
    <w:rsid w:val="00663D99"/>
    <w:rsid w:val="00680A19"/>
    <w:rsid w:val="006818A9"/>
    <w:rsid w:val="006A2D81"/>
    <w:rsid w:val="006C1D0D"/>
    <w:rsid w:val="006C54CA"/>
    <w:rsid w:val="006D36F0"/>
    <w:rsid w:val="006D48C4"/>
    <w:rsid w:val="0070601E"/>
    <w:rsid w:val="00712C72"/>
    <w:rsid w:val="00735FE9"/>
    <w:rsid w:val="00763CAA"/>
    <w:rsid w:val="00765F66"/>
    <w:rsid w:val="00776D34"/>
    <w:rsid w:val="0078664F"/>
    <w:rsid w:val="007C3FA6"/>
    <w:rsid w:val="007D585A"/>
    <w:rsid w:val="007D5A12"/>
    <w:rsid w:val="007E59F9"/>
    <w:rsid w:val="007F313B"/>
    <w:rsid w:val="00810BCD"/>
    <w:rsid w:val="00812782"/>
    <w:rsid w:val="00812C98"/>
    <w:rsid w:val="00814D92"/>
    <w:rsid w:val="0083181D"/>
    <w:rsid w:val="00834D90"/>
    <w:rsid w:val="00843EB2"/>
    <w:rsid w:val="00865572"/>
    <w:rsid w:val="00867F2C"/>
    <w:rsid w:val="00874BBC"/>
    <w:rsid w:val="00892135"/>
    <w:rsid w:val="00895449"/>
    <w:rsid w:val="00897879"/>
    <w:rsid w:val="008A5A81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1E33"/>
    <w:rsid w:val="00A14672"/>
    <w:rsid w:val="00A26BD6"/>
    <w:rsid w:val="00A443CF"/>
    <w:rsid w:val="00A6611D"/>
    <w:rsid w:val="00A82CB7"/>
    <w:rsid w:val="00A942C1"/>
    <w:rsid w:val="00AA2F03"/>
    <w:rsid w:val="00AC36F7"/>
    <w:rsid w:val="00AC63A4"/>
    <w:rsid w:val="00AD239E"/>
    <w:rsid w:val="00AE2274"/>
    <w:rsid w:val="00B10265"/>
    <w:rsid w:val="00B16A99"/>
    <w:rsid w:val="00B21211"/>
    <w:rsid w:val="00B35784"/>
    <w:rsid w:val="00B733A7"/>
    <w:rsid w:val="00B75C91"/>
    <w:rsid w:val="00B975AD"/>
    <w:rsid w:val="00BB2E7B"/>
    <w:rsid w:val="00BC45FB"/>
    <w:rsid w:val="00BF148D"/>
    <w:rsid w:val="00BF48F6"/>
    <w:rsid w:val="00C23B1A"/>
    <w:rsid w:val="00C310EB"/>
    <w:rsid w:val="00C63C80"/>
    <w:rsid w:val="00C9176A"/>
    <w:rsid w:val="00CE3D26"/>
    <w:rsid w:val="00CF1AA2"/>
    <w:rsid w:val="00D17774"/>
    <w:rsid w:val="00D61DFF"/>
    <w:rsid w:val="00D63620"/>
    <w:rsid w:val="00D8410D"/>
    <w:rsid w:val="00D867D7"/>
    <w:rsid w:val="00DB7060"/>
    <w:rsid w:val="00DC46B4"/>
    <w:rsid w:val="00DE18A3"/>
    <w:rsid w:val="00DE3153"/>
    <w:rsid w:val="00E06736"/>
    <w:rsid w:val="00E13C27"/>
    <w:rsid w:val="00E33BBD"/>
    <w:rsid w:val="00E374F2"/>
    <w:rsid w:val="00E45103"/>
    <w:rsid w:val="00E55A60"/>
    <w:rsid w:val="00E62778"/>
    <w:rsid w:val="00E62A30"/>
    <w:rsid w:val="00E63D38"/>
    <w:rsid w:val="00E665B9"/>
    <w:rsid w:val="00EA01E6"/>
    <w:rsid w:val="00EA3DE8"/>
    <w:rsid w:val="00EA758F"/>
    <w:rsid w:val="00EA76C9"/>
    <w:rsid w:val="00ED4A6F"/>
    <w:rsid w:val="00EF3A3A"/>
    <w:rsid w:val="00F628D6"/>
    <w:rsid w:val="00F67051"/>
    <w:rsid w:val="00F86A1E"/>
    <w:rsid w:val="00FA5E88"/>
    <w:rsid w:val="00FD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E7CC2A52-7C30-40EF-A06A-B08F5CE6E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5AD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B975AD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B975AD"/>
    <w:rPr>
      <w:sz w:val="36"/>
      <w:szCs w:val="52"/>
    </w:rPr>
  </w:style>
  <w:style w:type="paragraph" w:customStyle="1" w:styleId="Cover3-Haknesset">
    <w:name w:val="Cover 3-Haknesset"/>
    <w:basedOn w:val="Cover1-Reshumot"/>
    <w:rsid w:val="00B975AD"/>
    <w:rPr>
      <w:b/>
      <w:bCs/>
      <w:spacing w:val="60"/>
    </w:rPr>
  </w:style>
  <w:style w:type="paragraph" w:customStyle="1" w:styleId="Cover4-Date">
    <w:name w:val="Cover 4-Date"/>
    <w:basedOn w:val="a"/>
    <w:rsid w:val="00B975AD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B975AD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B975AD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B975AD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B975AD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B975AD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B975AD"/>
  </w:style>
  <w:style w:type="paragraph" w:customStyle="1" w:styleId="TableBlock">
    <w:name w:val="Table Block"/>
    <w:basedOn w:val="TableText"/>
    <w:rsid w:val="00B975AD"/>
    <w:pPr>
      <w:ind w:right="0"/>
      <w:jc w:val="both"/>
    </w:pPr>
  </w:style>
  <w:style w:type="paragraph" w:customStyle="1" w:styleId="TableHead">
    <w:name w:val="Table Head"/>
    <w:basedOn w:val="TableText"/>
    <w:rsid w:val="00B975AD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B975AD"/>
  </w:style>
  <w:style w:type="paragraph" w:customStyle="1" w:styleId="Hesber">
    <w:name w:val="Hesber"/>
    <w:basedOn w:val="a"/>
    <w:rsid w:val="00B975AD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link w:val="a5"/>
    <w:autoRedefine/>
    <w:semiHidden/>
    <w:rsid w:val="00B975AD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6">
    <w:name w:val="footnote reference"/>
    <w:aliases w:val="Footnote Reference"/>
    <w:basedOn w:val="a0"/>
    <w:semiHidden/>
    <w:rsid w:val="00B975AD"/>
    <w:rPr>
      <w:vertAlign w:val="superscript"/>
    </w:rPr>
  </w:style>
  <w:style w:type="paragraph" w:customStyle="1" w:styleId="HesberHeading">
    <w:name w:val="Hesber Heading"/>
    <w:basedOn w:val="Hesber"/>
    <w:rsid w:val="00B975AD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B975AD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B975AD"/>
    <w:pPr>
      <w:tabs>
        <w:tab w:val="left" w:pos="680"/>
        <w:tab w:val="left" w:pos="1020"/>
      </w:tabs>
      <w:ind w:firstLine="0"/>
    </w:pPr>
  </w:style>
  <w:style w:type="character" w:styleId="a7">
    <w:name w:val="endnote reference"/>
    <w:basedOn w:val="a0"/>
    <w:semiHidden/>
    <w:rsid w:val="00B975AD"/>
    <w:rPr>
      <w:vertAlign w:val="superscript"/>
    </w:rPr>
  </w:style>
  <w:style w:type="paragraph" w:customStyle="1" w:styleId="TableBlockOutdent">
    <w:name w:val="Table BlockOutdent"/>
    <w:basedOn w:val="TableBlock"/>
    <w:rsid w:val="00B975AD"/>
    <w:pPr>
      <w:ind w:left="624" w:hanging="624"/>
    </w:pPr>
  </w:style>
  <w:style w:type="paragraph" w:styleId="a8">
    <w:name w:val="header"/>
    <w:basedOn w:val="a"/>
    <w:rsid w:val="00B975AD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B975AD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B975AD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B975AD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a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b">
    <w:name w:val="page number"/>
    <w:basedOn w:val="a0"/>
    <w:rsid w:val="00B975AD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c">
    <w:name w:val="Balloon Text"/>
    <w:basedOn w:val="a"/>
    <w:link w:val="ad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a5">
    <w:name w:val="טקסט הערת שוליים תו"/>
    <w:basedOn w:val="a0"/>
    <w:link w:val="a4"/>
    <w:uiPriority w:val="99"/>
    <w:semiHidden/>
    <w:locked/>
    <w:rsid w:val="00BF48F6"/>
    <w:rPr>
      <w:rFonts w:ascii="Arial" w:eastAsia="Arial Unicode MS" w:hAnsi="Arial" w:cs="David"/>
      <w:snapToGrid w:val="0"/>
      <w:color w:val="000000"/>
      <w:sz w:val="1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6EB84DF20CE4D8D9D1A5C7A92FD24" ma:contentTypeVersion="0" ma:contentTypeDescription="Create a new document." ma:contentTypeScope="" ma:versionID="99fd2faca98684dfaf8c37f6393491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F4AFE3-9455-419C-8851-785A55F44517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322250A-7568-4A6E-9872-726519FEBC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4D2777C-6B78-4CE9-BDE7-F3843BAFA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4</Pages>
  <Words>787</Words>
  <Characters>3939</Characters>
  <Application>Microsoft Office Word</Application>
  <DocSecurity>0</DocSecurity>
  <Lines>32</Lines>
  <Paragraphs>9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4717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אילת וולברג</cp:lastModifiedBy>
  <cp:revision>26</cp:revision>
  <cp:lastPrinted>2017-08-13T11:15:00Z</cp:lastPrinted>
  <dcterms:created xsi:type="dcterms:W3CDTF">2015-04-20T09:58:00Z</dcterms:created>
  <dcterms:modified xsi:type="dcterms:W3CDTF">2017-10-15T11:08:00Z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0x0101008386EB84DF20CE4D8D9D1A5C7A92FD24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2020642</vt:r8>
  </property>
</Properties>
</file>