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2020943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A" w14:textId="6A263961" w:rsidR="00E13C27" w:rsidRPr="00CF1AA2" w:rsidRDefault="008F6665" w:rsidP="006B0721">
      <w:pPr>
        <w:pStyle w:val="David"/>
        <w:spacing w:line="360" w:lineRule="auto"/>
        <w:ind w:left="3544"/>
        <w:rPr>
          <w:b/>
          <w:bCs/>
          <w:sz w:val="16"/>
          <w:szCs w:val="16"/>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ענת ברקו</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פ/4606/20</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151AF711" w:rsidR="00E13C27" w:rsidRPr="00F67051" w:rsidRDefault="00A443CF" w:rsidP="004F473F">
      <w:pPr>
        <w:pStyle w:val="HeadHatzaotHok"/>
        <w:rPr>
          <w:rtl/>
        </w:rPr>
      </w:pPr>
      <w:bookmarkStart w:id="7" w:name="LGS_Subject"/>
      <w:r>
        <w:rPr>
          <w:rFonts w:hint="cs"/>
          <w:rtl/>
        </w:rPr>
        <w:t>הצעת חוק שירות ב</w:t>
      </w:r>
      <w:r w:rsidR="006F212B">
        <w:rPr>
          <w:rFonts w:hint="cs"/>
          <w:rtl/>
        </w:rPr>
        <w:t>י</w:t>
      </w:r>
      <w:r>
        <w:rPr>
          <w:rFonts w:hint="cs"/>
          <w:rtl/>
        </w:rPr>
        <w:t>טחון (תיקון – ביטול פטור למצהירות כזב), התשע"ח–2017</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987E30" w14:paraId="3D9B61D1" w14:textId="77777777" w:rsidTr="00DA7865">
        <w:trPr>
          <w:cantSplit/>
        </w:trPr>
        <w:tc>
          <w:tcPr>
            <w:tcW w:w="1871" w:type="dxa"/>
          </w:tcPr>
          <w:p w14:paraId="6C0CB9D8" w14:textId="330567A4" w:rsidR="00987E30" w:rsidRPr="0033497C" w:rsidRDefault="00D81D32" w:rsidP="00DA7865">
            <w:pPr>
              <w:pStyle w:val="TableSideHeading"/>
              <w:ind w:right="0"/>
            </w:pPr>
            <w:r w:rsidRPr="0033497C">
              <w:rPr>
                <w:rFonts w:hint="eastAsia"/>
                <w:rtl/>
              </w:rPr>
              <w:t>ביטול</w:t>
            </w:r>
            <w:r w:rsidRPr="0033497C">
              <w:rPr>
                <w:rtl/>
              </w:rPr>
              <w:t xml:space="preserve"> </w:t>
            </w:r>
            <w:r w:rsidR="00987E30" w:rsidRPr="0033497C">
              <w:rPr>
                <w:rFonts w:hint="eastAsia"/>
                <w:rtl/>
              </w:rPr>
              <w:t>סעיף</w:t>
            </w:r>
            <w:r w:rsidR="00987E30" w:rsidRPr="0033497C">
              <w:rPr>
                <w:rtl/>
              </w:rPr>
              <w:t xml:space="preserve"> 41</w:t>
            </w:r>
          </w:p>
        </w:tc>
        <w:tc>
          <w:tcPr>
            <w:tcW w:w="624" w:type="dxa"/>
          </w:tcPr>
          <w:p w14:paraId="3F4286A2" w14:textId="0524FE99" w:rsidR="00987E30" w:rsidRPr="0033497C" w:rsidRDefault="00987E30" w:rsidP="00DA7865">
            <w:pPr>
              <w:pStyle w:val="TableText"/>
              <w:ind w:right="0"/>
              <w:jc w:val="both"/>
            </w:pPr>
            <w:r w:rsidRPr="0033497C">
              <w:rPr>
                <w:rtl/>
              </w:rPr>
              <w:t>1.</w:t>
            </w:r>
          </w:p>
        </w:tc>
        <w:tc>
          <w:tcPr>
            <w:tcW w:w="7143" w:type="dxa"/>
          </w:tcPr>
          <w:p w14:paraId="7633D5BB" w14:textId="33FDDFEB" w:rsidR="00987E30" w:rsidRPr="0033497C" w:rsidRDefault="00987E30" w:rsidP="00DA7865">
            <w:pPr>
              <w:pStyle w:val="TableBlock"/>
            </w:pPr>
            <w:r w:rsidRPr="0033497C">
              <w:rPr>
                <w:rFonts w:hint="eastAsia"/>
                <w:rtl/>
              </w:rPr>
              <w:t>בחוק</w:t>
            </w:r>
            <w:r w:rsidRPr="0033497C">
              <w:rPr>
                <w:rtl/>
              </w:rPr>
              <w:t xml:space="preserve"> </w:t>
            </w:r>
            <w:r w:rsidRPr="0033497C">
              <w:rPr>
                <w:rFonts w:hint="eastAsia"/>
                <w:rtl/>
              </w:rPr>
              <w:t>שירות</w:t>
            </w:r>
            <w:r w:rsidRPr="0033497C">
              <w:rPr>
                <w:rtl/>
              </w:rPr>
              <w:t xml:space="preserve"> </w:t>
            </w:r>
            <w:r w:rsidRPr="0033497C">
              <w:rPr>
                <w:rFonts w:hint="eastAsia"/>
                <w:rtl/>
              </w:rPr>
              <w:t>ב</w:t>
            </w:r>
            <w:r w:rsidR="00D81D32" w:rsidRPr="0033497C">
              <w:rPr>
                <w:rFonts w:hint="eastAsia"/>
                <w:rtl/>
              </w:rPr>
              <w:t>י</w:t>
            </w:r>
            <w:r w:rsidRPr="0033497C">
              <w:rPr>
                <w:rFonts w:hint="eastAsia"/>
                <w:rtl/>
              </w:rPr>
              <w:t>טחון</w:t>
            </w:r>
            <w:r w:rsidRPr="0033497C">
              <w:rPr>
                <w:rtl/>
              </w:rPr>
              <w:t xml:space="preserve"> [נוסח </w:t>
            </w:r>
            <w:r w:rsidRPr="0033497C">
              <w:rPr>
                <w:rFonts w:hint="eastAsia"/>
                <w:rtl/>
              </w:rPr>
              <w:t>משולב</w:t>
            </w:r>
            <w:r w:rsidRPr="0033497C">
              <w:rPr>
                <w:rtl/>
              </w:rPr>
              <w:t xml:space="preserve">], </w:t>
            </w:r>
            <w:r w:rsidRPr="0033497C">
              <w:rPr>
                <w:rFonts w:hint="eastAsia"/>
                <w:rtl/>
              </w:rPr>
              <w:t>התשמ</w:t>
            </w:r>
            <w:r w:rsidRPr="0033497C">
              <w:rPr>
                <w:rtl/>
              </w:rPr>
              <w:t>"ו–1986</w:t>
            </w:r>
            <w:r w:rsidR="00D81D32" w:rsidRPr="00DA7865">
              <w:rPr>
                <w:vertAlign w:val="superscript"/>
                <w:rtl/>
              </w:rPr>
              <w:footnoteReference w:id="2"/>
            </w:r>
            <w:r w:rsidRPr="00DA7865">
              <w:rPr>
                <w:vertAlign w:val="superscript"/>
                <w:rtl/>
              </w:rPr>
              <w:t xml:space="preserve"> </w:t>
            </w:r>
            <w:r w:rsidRPr="0033497C">
              <w:rPr>
                <w:rtl/>
              </w:rPr>
              <w:t>(להלן – החוק העיקרי)</w:t>
            </w:r>
            <w:r w:rsidRPr="0033497C">
              <w:rPr>
                <w:rFonts w:hint="cs"/>
                <w:rtl/>
              </w:rPr>
              <w:t>,</w:t>
            </w:r>
            <w:r w:rsidR="00D81D32" w:rsidRPr="0033497C">
              <w:rPr>
                <w:rtl/>
              </w:rPr>
              <w:t xml:space="preserve"> סעיף 41 –</w:t>
            </w:r>
            <w:r w:rsidRPr="0033497C">
              <w:rPr>
                <w:rtl/>
              </w:rPr>
              <w:t xml:space="preserve"> בטל.</w:t>
            </w:r>
          </w:p>
        </w:tc>
      </w:tr>
      <w:tr w:rsidR="00987E30" w14:paraId="7C79C0D2" w14:textId="77777777" w:rsidTr="00DA7865">
        <w:trPr>
          <w:cantSplit/>
        </w:trPr>
        <w:tc>
          <w:tcPr>
            <w:tcW w:w="1871" w:type="dxa"/>
          </w:tcPr>
          <w:p w14:paraId="47A5BF42" w14:textId="6DB52278" w:rsidR="00987E30" w:rsidRPr="0033497C" w:rsidRDefault="00987E30" w:rsidP="00DA7865">
            <w:pPr>
              <w:pStyle w:val="TableSideHeading"/>
              <w:rPr>
                <w:rtl/>
              </w:rPr>
            </w:pPr>
            <w:r w:rsidRPr="0033497C">
              <w:rPr>
                <w:rFonts w:hint="eastAsia"/>
                <w:rtl/>
              </w:rPr>
              <w:t>תיקון</w:t>
            </w:r>
            <w:r w:rsidRPr="0033497C">
              <w:rPr>
                <w:rtl/>
              </w:rPr>
              <w:t xml:space="preserve"> </w:t>
            </w:r>
            <w:r w:rsidRPr="0033497C">
              <w:rPr>
                <w:rFonts w:hint="eastAsia"/>
                <w:rtl/>
              </w:rPr>
              <w:t>סעיף</w:t>
            </w:r>
            <w:r w:rsidRPr="0033497C">
              <w:rPr>
                <w:rtl/>
              </w:rPr>
              <w:t xml:space="preserve"> 42</w:t>
            </w:r>
          </w:p>
        </w:tc>
        <w:tc>
          <w:tcPr>
            <w:tcW w:w="624" w:type="dxa"/>
          </w:tcPr>
          <w:p w14:paraId="3CA7320D" w14:textId="0FD20076" w:rsidR="00987E30" w:rsidRPr="0033497C" w:rsidRDefault="00987E30" w:rsidP="00DA7865">
            <w:pPr>
              <w:pStyle w:val="TableText"/>
              <w:rPr>
                <w:rtl/>
              </w:rPr>
            </w:pPr>
            <w:r w:rsidRPr="0033497C">
              <w:rPr>
                <w:rtl/>
              </w:rPr>
              <w:t>2.</w:t>
            </w:r>
          </w:p>
        </w:tc>
        <w:tc>
          <w:tcPr>
            <w:tcW w:w="7143" w:type="dxa"/>
          </w:tcPr>
          <w:p w14:paraId="7537E5DA" w14:textId="17F672BB" w:rsidR="00987E30" w:rsidRPr="0033497C" w:rsidRDefault="00987E30" w:rsidP="00DA7865">
            <w:pPr>
              <w:pStyle w:val="TableBlock"/>
              <w:rPr>
                <w:rtl/>
              </w:rPr>
            </w:pPr>
            <w:r w:rsidRPr="0033497C">
              <w:rPr>
                <w:rFonts w:hint="eastAsia"/>
                <w:rtl/>
              </w:rPr>
              <w:t>בסעיף</w:t>
            </w:r>
            <w:r w:rsidRPr="0033497C">
              <w:rPr>
                <w:rtl/>
              </w:rPr>
              <w:t xml:space="preserve"> 42 </w:t>
            </w:r>
            <w:r w:rsidRPr="0033497C">
              <w:rPr>
                <w:rFonts w:hint="eastAsia"/>
                <w:rtl/>
              </w:rPr>
              <w:t>לחוק</w:t>
            </w:r>
            <w:r w:rsidRPr="0033497C">
              <w:rPr>
                <w:rtl/>
              </w:rPr>
              <w:t xml:space="preserve"> </w:t>
            </w:r>
            <w:r w:rsidRPr="0033497C">
              <w:rPr>
                <w:rFonts w:hint="eastAsia"/>
                <w:rtl/>
              </w:rPr>
              <w:t>העיקרי</w:t>
            </w:r>
            <w:r w:rsidRPr="0033497C">
              <w:rPr>
                <w:rtl/>
              </w:rPr>
              <w:t xml:space="preserve">, </w:t>
            </w:r>
            <w:r w:rsidRPr="0033497C">
              <w:rPr>
                <w:rFonts w:hint="eastAsia"/>
                <w:rtl/>
              </w:rPr>
              <w:t>במקום</w:t>
            </w:r>
            <w:r w:rsidRPr="0033497C">
              <w:rPr>
                <w:rtl/>
              </w:rPr>
              <w:t xml:space="preserve"> </w:t>
            </w:r>
            <w:r w:rsidRPr="0033497C">
              <w:rPr>
                <w:rFonts w:hint="eastAsia"/>
                <w:rtl/>
              </w:rPr>
              <w:t>סעיף</w:t>
            </w:r>
            <w:r w:rsidRPr="0033497C">
              <w:rPr>
                <w:rtl/>
              </w:rPr>
              <w:t xml:space="preserve"> </w:t>
            </w:r>
            <w:r w:rsidRPr="0033497C">
              <w:rPr>
                <w:rFonts w:hint="eastAsia"/>
                <w:rtl/>
              </w:rPr>
              <w:t>קטן</w:t>
            </w:r>
            <w:r w:rsidRPr="0033497C">
              <w:rPr>
                <w:rtl/>
              </w:rPr>
              <w:t xml:space="preserve"> (ה) </w:t>
            </w:r>
            <w:r w:rsidRPr="0033497C">
              <w:rPr>
                <w:rFonts w:hint="eastAsia"/>
                <w:rtl/>
              </w:rPr>
              <w:t>יבוא</w:t>
            </w:r>
            <w:r w:rsidR="009C7679" w:rsidRPr="0033497C">
              <w:rPr>
                <w:rtl/>
              </w:rPr>
              <w:t>:</w:t>
            </w:r>
            <w:r w:rsidRPr="0033497C">
              <w:rPr>
                <w:rtl/>
              </w:rPr>
              <w:t xml:space="preserve"> </w:t>
            </w:r>
          </w:p>
        </w:tc>
      </w:tr>
      <w:tr w:rsidR="00987E30" w14:paraId="1BB5F556" w14:textId="77777777" w:rsidTr="00DA7865">
        <w:trPr>
          <w:cantSplit/>
        </w:trPr>
        <w:tc>
          <w:tcPr>
            <w:tcW w:w="1871" w:type="dxa"/>
          </w:tcPr>
          <w:p w14:paraId="5D8A236C" w14:textId="2758E180" w:rsidR="00987E30" w:rsidRPr="0033497C" w:rsidRDefault="00987E30" w:rsidP="00DA7865">
            <w:pPr>
              <w:pStyle w:val="TableSideHeading"/>
              <w:rPr>
                <w:rtl/>
              </w:rPr>
            </w:pPr>
          </w:p>
        </w:tc>
        <w:tc>
          <w:tcPr>
            <w:tcW w:w="624" w:type="dxa"/>
          </w:tcPr>
          <w:p w14:paraId="177DD701" w14:textId="77777777" w:rsidR="00987E30" w:rsidRPr="0033497C" w:rsidRDefault="00987E30" w:rsidP="00DA7865">
            <w:pPr>
              <w:pStyle w:val="TableText"/>
              <w:rPr>
                <w:rtl/>
              </w:rPr>
            </w:pPr>
          </w:p>
        </w:tc>
        <w:tc>
          <w:tcPr>
            <w:tcW w:w="7143" w:type="dxa"/>
          </w:tcPr>
          <w:p w14:paraId="51AE0300" w14:textId="7256E59A" w:rsidR="00987E30" w:rsidRPr="0033497C" w:rsidRDefault="00630571" w:rsidP="00DA7865">
            <w:pPr>
              <w:pStyle w:val="TableBlock"/>
              <w:rPr>
                <w:rtl/>
              </w:rPr>
            </w:pPr>
            <w:r w:rsidRPr="0033497C">
              <w:rPr>
                <w:rtl/>
              </w:rPr>
              <w:t>"(ה)</w:t>
            </w:r>
            <w:r w:rsidRPr="0033497C">
              <w:rPr>
                <w:rtl/>
              </w:rPr>
              <w:tab/>
            </w:r>
            <w:r w:rsidRPr="0033497C">
              <w:rPr>
                <w:rFonts w:hint="eastAsia"/>
                <w:rtl/>
              </w:rPr>
              <w:t>החלטה</w:t>
            </w:r>
            <w:r w:rsidRPr="0033497C">
              <w:rPr>
                <w:rtl/>
              </w:rPr>
              <w:t xml:space="preserve"> </w:t>
            </w:r>
            <w:r w:rsidRPr="0033497C">
              <w:rPr>
                <w:rFonts w:hint="eastAsia"/>
                <w:rtl/>
              </w:rPr>
              <w:t>של</w:t>
            </w:r>
            <w:r w:rsidRPr="0033497C">
              <w:rPr>
                <w:rtl/>
              </w:rPr>
              <w:t xml:space="preserve"> </w:t>
            </w:r>
            <w:r w:rsidRPr="0033497C">
              <w:rPr>
                <w:rFonts w:hint="eastAsia"/>
                <w:rtl/>
              </w:rPr>
              <w:t>פוקד</w:t>
            </w:r>
            <w:r w:rsidRPr="0033497C">
              <w:rPr>
                <w:rtl/>
              </w:rPr>
              <w:t xml:space="preserve"> </w:t>
            </w:r>
            <w:r w:rsidRPr="0033497C">
              <w:rPr>
                <w:rFonts w:hint="eastAsia"/>
                <w:rtl/>
              </w:rPr>
              <w:t>לבטל</w:t>
            </w:r>
            <w:r w:rsidRPr="0033497C">
              <w:rPr>
                <w:rtl/>
              </w:rPr>
              <w:t xml:space="preserve"> </w:t>
            </w:r>
            <w:r w:rsidRPr="0033497C">
              <w:rPr>
                <w:rFonts w:hint="eastAsia"/>
                <w:rtl/>
              </w:rPr>
              <w:t>פטור</w:t>
            </w:r>
            <w:r w:rsidRPr="0033497C">
              <w:rPr>
                <w:rtl/>
              </w:rPr>
              <w:t xml:space="preserve"> </w:t>
            </w:r>
            <w:r w:rsidRPr="0033497C">
              <w:rPr>
                <w:rFonts w:hint="eastAsia"/>
                <w:rtl/>
              </w:rPr>
              <w:t>שניתן</w:t>
            </w:r>
            <w:r w:rsidRPr="0033497C">
              <w:rPr>
                <w:rtl/>
              </w:rPr>
              <w:t xml:space="preserve"> </w:t>
            </w:r>
            <w:r w:rsidRPr="0033497C">
              <w:rPr>
                <w:rFonts w:hint="eastAsia"/>
                <w:rtl/>
              </w:rPr>
              <w:t>למיועדת</w:t>
            </w:r>
            <w:r w:rsidRPr="0033497C">
              <w:rPr>
                <w:rtl/>
              </w:rPr>
              <w:t xml:space="preserve"> </w:t>
            </w:r>
            <w:r w:rsidRPr="0033497C">
              <w:rPr>
                <w:rFonts w:hint="eastAsia"/>
                <w:rtl/>
              </w:rPr>
              <w:t>לשירות</w:t>
            </w:r>
            <w:r w:rsidRPr="0033497C">
              <w:rPr>
                <w:rtl/>
              </w:rPr>
              <w:t xml:space="preserve"> </w:t>
            </w:r>
            <w:r w:rsidRPr="0033497C">
              <w:rPr>
                <w:rFonts w:hint="eastAsia"/>
                <w:rtl/>
              </w:rPr>
              <w:t>ב</w:t>
            </w:r>
            <w:r w:rsidR="0033497C">
              <w:rPr>
                <w:rFonts w:hint="cs"/>
                <w:rtl/>
              </w:rPr>
              <w:t>י</w:t>
            </w:r>
            <w:r w:rsidRPr="0033497C">
              <w:rPr>
                <w:rFonts w:hint="eastAsia"/>
                <w:rtl/>
              </w:rPr>
              <w:t>טחון</w:t>
            </w:r>
            <w:r w:rsidRPr="0033497C">
              <w:rPr>
                <w:rtl/>
              </w:rPr>
              <w:t xml:space="preserve"> </w:t>
            </w:r>
            <w:r w:rsidRPr="0033497C">
              <w:rPr>
                <w:rFonts w:hint="eastAsia"/>
                <w:rtl/>
              </w:rPr>
              <w:t>לפי</w:t>
            </w:r>
            <w:r w:rsidRPr="0033497C">
              <w:rPr>
                <w:rtl/>
              </w:rPr>
              <w:t xml:space="preserve"> </w:t>
            </w:r>
            <w:r w:rsidRPr="0033497C">
              <w:rPr>
                <w:rFonts w:hint="eastAsia"/>
                <w:rtl/>
              </w:rPr>
              <w:t>סעיף</w:t>
            </w:r>
            <w:r w:rsidRPr="0033497C">
              <w:rPr>
                <w:rtl/>
              </w:rPr>
              <w:t xml:space="preserve"> 40 </w:t>
            </w:r>
            <w:r w:rsidRPr="0033497C">
              <w:rPr>
                <w:rFonts w:hint="eastAsia"/>
                <w:rtl/>
              </w:rPr>
              <w:t>ניתנת</w:t>
            </w:r>
            <w:r w:rsidRPr="0033497C">
              <w:rPr>
                <w:rtl/>
              </w:rPr>
              <w:t xml:space="preserve"> </w:t>
            </w:r>
            <w:r w:rsidRPr="0033497C">
              <w:rPr>
                <w:rFonts w:hint="eastAsia"/>
                <w:rtl/>
              </w:rPr>
              <w:t>לערעור</w:t>
            </w:r>
            <w:r w:rsidRPr="0033497C">
              <w:rPr>
                <w:rtl/>
              </w:rPr>
              <w:t xml:space="preserve"> </w:t>
            </w:r>
            <w:r w:rsidRPr="0033497C">
              <w:rPr>
                <w:rFonts w:hint="eastAsia"/>
                <w:rtl/>
              </w:rPr>
              <w:t>לפני</w:t>
            </w:r>
            <w:r w:rsidRPr="0033497C">
              <w:rPr>
                <w:rtl/>
              </w:rPr>
              <w:t xml:space="preserve"> </w:t>
            </w:r>
            <w:r w:rsidRPr="0033497C">
              <w:rPr>
                <w:rFonts w:hint="eastAsia"/>
                <w:rtl/>
              </w:rPr>
              <w:t>בית</w:t>
            </w:r>
            <w:r w:rsidRPr="0033497C">
              <w:rPr>
                <w:rtl/>
              </w:rPr>
              <w:t xml:space="preserve"> </w:t>
            </w:r>
            <w:r w:rsidRPr="0033497C">
              <w:rPr>
                <w:rFonts w:hint="eastAsia"/>
                <w:rtl/>
              </w:rPr>
              <w:t>משפט</w:t>
            </w:r>
            <w:r w:rsidRPr="0033497C">
              <w:rPr>
                <w:rtl/>
              </w:rPr>
              <w:t xml:space="preserve"> </w:t>
            </w:r>
            <w:r w:rsidRPr="0033497C">
              <w:rPr>
                <w:rFonts w:hint="eastAsia"/>
                <w:rtl/>
              </w:rPr>
              <w:t>לעניינים</w:t>
            </w:r>
            <w:r w:rsidRPr="0033497C">
              <w:rPr>
                <w:rtl/>
              </w:rPr>
              <w:t xml:space="preserve"> </w:t>
            </w:r>
            <w:r w:rsidRPr="0033497C">
              <w:rPr>
                <w:rFonts w:hint="eastAsia"/>
                <w:rtl/>
              </w:rPr>
              <w:t>מנהליים</w:t>
            </w:r>
            <w:r w:rsidRPr="0033497C">
              <w:rPr>
                <w:rtl/>
              </w:rPr>
              <w:t>."</w:t>
            </w:r>
          </w:p>
        </w:tc>
      </w:tr>
      <w:tr w:rsidR="00987E30" w14:paraId="7CBBC105" w14:textId="77777777" w:rsidTr="00DA7865">
        <w:trPr>
          <w:cantSplit/>
        </w:trPr>
        <w:tc>
          <w:tcPr>
            <w:tcW w:w="1871" w:type="dxa"/>
          </w:tcPr>
          <w:p w14:paraId="0245C3E8" w14:textId="33629272" w:rsidR="00987E30" w:rsidRPr="0033497C" w:rsidRDefault="00630571" w:rsidP="00DA7865">
            <w:pPr>
              <w:pStyle w:val="TableSideHeading"/>
              <w:rPr>
                <w:rtl/>
              </w:rPr>
            </w:pPr>
            <w:r w:rsidRPr="0033497C">
              <w:rPr>
                <w:rFonts w:hint="eastAsia"/>
                <w:rtl/>
              </w:rPr>
              <w:t>תיקון</w:t>
            </w:r>
            <w:r w:rsidRPr="0033497C">
              <w:rPr>
                <w:rtl/>
              </w:rPr>
              <w:t xml:space="preserve"> </w:t>
            </w:r>
            <w:r w:rsidRPr="0033497C">
              <w:rPr>
                <w:rFonts w:hint="eastAsia"/>
                <w:rtl/>
              </w:rPr>
              <w:t>חוק</w:t>
            </w:r>
            <w:r w:rsidRPr="0033497C">
              <w:rPr>
                <w:rtl/>
              </w:rPr>
              <w:t xml:space="preserve"> </w:t>
            </w:r>
            <w:r w:rsidRPr="0033497C">
              <w:rPr>
                <w:rFonts w:hint="eastAsia"/>
                <w:rtl/>
              </w:rPr>
              <w:t>שירות</w:t>
            </w:r>
            <w:r w:rsidRPr="0033497C">
              <w:rPr>
                <w:rtl/>
              </w:rPr>
              <w:t xml:space="preserve"> </w:t>
            </w:r>
            <w:r w:rsidRPr="0033497C">
              <w:rPr>
                <w:rFonts w:hint="eastAsia"/>
                <w:rtl/>
              </w:rPr>
              <w:t>ביטחון</w:t>
            </w:r>
            <w:r w:rsidRPr="0033497C">
              <w:rPr>
                <w:rtl/>
              </w:rPr>
              <w:t xml:space="preserve"> (תיקון </w:t>
            </w:r>
            <w:r w:rsidRPr="0033497C">
              <w:rPr>
                <w:rFonts w:hint="eastAsia"/>
                <w:rtl/>
              </w:rPr>
              <w:t>מס</w:t>
            </w:r>
            <w:r w:rsidRPr="0033497C">
              <w:rPr>
                <w:rtl/>
              </w:rPr>
              <w:t xml:space="preserve">' 18 </w:t>
            </w:r>
            <w:r w:rsidRPr="0033497C">
              <w:rPr>
                <w:rFonts w:hint="eastAsia"/>
                <w:rtl/>
              </w:rPr>
              <w:t>והוראת</w:t>
            </w:r>
            <w:r w:rsidRPr="0033497C">
              <w:rPr>
                <w:rtl/>
              </w:rPr>
              <w:t xml:space="preserve"> </w:t>
            </w:r>
            <w:r w:rsidRPr="0033497C">
              <w:rPr>
                <w:rFonts w:hint="eastAsia"/>
                <w:rtl/>
              </w:rPr>
              <w:t>שעה</w:t>
            </w:r>
            <w:r w:rsidRPr="0033497C">
              <w:rPr>
                <w:rtl/>
              </w:rPr>
              <w:t>)</w:t>
            </w:r>
          </w:p>
        </w:tc>
        <w:tc>
          <w:tcPr>
            <w:tcW w:w="624" w:type="dxa"/>
          </w:tcPr>
          <w:p w14:paraId="49794757" w14:textId="0EC3F537" w:rsidR="00987E30" w:rsidRPr="0033497C" w:rsidRDefault="00987E30" w:rsidP="00DA7865">
            <w:pPr>
              <w:pStyle w:val="TableText"/>
              <w:rPr>
                <w:rtl/>
              </w:rPr>
            </w:pPr>
            <w:r w:rsidRPr="0033497C">
              <w:rPr>
                <w:rtl/>
              </w:rPr>
              <w:t>3.</w:t>
            </w:r>
          </w:p>
        </w:tc>
        <w:tc>
          <w:tcPr>
            <w:tcW w:w="7143" w:type="dxa"/>
          </w:tcPr>
          <w:p w14:paraId="4CB2A6F4" w14:textId="704DA33B" w:rsidR="00987E30" w:rsidRPr="0033497C" w:rsidRDefault="00987E30" w:rsidP="00DA7865">
            <w:pPr>
              <w:pStyle w:val="TableBlock"/>
              <w:rPr>
                <w:rtl/>
              </w:rPr>
            </w:pPr>
            <w:r w:rsidRPr="0033497C">
              <w:rPr>
                <w:rFonts w:hint="eastAsia"/>
                <w:rtl/>
              </w:rPr>
              <w:t>ב</w:t>
            </w:r>
            <w:r w:rsidRPr="00DA7865">
              <w:rPr>
                <w:rtl/>
              </w:rPr>
              <w:t xml:space="preserve">חוק </w:t>
            </w:r>
            <w:r w:rsidRPr="0033497C">
              <w:rPr>
                <w:rFonts w:hint="eastAsia"/>
                <w:rtl/>
              </w:rPr>
              <w:t>שירות</w:t>
            </w:r>
            <w:r w:rsidRPr="0033497C">
              <w:rPr>
                <w:rtl/>
              </w:rPr>
              <w:t xml:space="preserve"> </w:t>
            </w:r>
            <w:r w:rsidRPr="0033497C">
              <w:rPr>
                <w:rFonts w:hint="eastAsia"/>
                <w:rtl/>
              </w:rPr>
              <w:t>ב</w:t>
            </w:r>
            <w:r w:rsidR="009C7679" w:rsidRPr="0033497C">
              <w:rPr>
                <w:rFonts w:hint="eastAsia"/>
                <w:rtl/>
              </w:rPr>
              <w:t>י</w:t>
            </w:r>
            <w:r w:rsidRPr="0033497C">
              <w:rPr>
                <w:rFonts w:hint="eastAsia"/>
                <w:rtl/>
              </w:rPr>
              <w:t>טחון</w:t>
            </w:r>
            <w:r w:rsidRPr="0033497C">
              <w:rPr>
                <w:rtl/>
              </w:rPr>
              <w:t xml:space="preserve"> (תיקון </w:t>
            </w:r>
            <w:r w:rsidRPr="0033497C">
              <w:rPr>
                <w:rFonts w:hint="eastAsia"/>
                <w:rtl/>
              </w:rPr>
              <w:t>מס</w:t>
            </w:r>
            <w:r w:rsidRPr="0033497C">
              <w:rPr>
                <w:rtl/>
              </w:rPr>
              <w:t xml:space="preserve">' 18 </w:t>
            </w:r>
            <w:r w:rsidRPr="0033497C">
              <w:rPr>
                <w:rFonts w:hint="eastAsia"/>
                <w:rtl/>
              </w:rPr>
              <w:t>והוראת</w:t>
            </w:r>
            <w:r w:rsidRPr="0033497C">
              <w:rPr>
                <w:rtl/>
              </w:rPr>
              <w:t xml:space="preserve"> </w:t>
            </w:r>
            <w:r w:rsidRPr="0033497C">
              <w:rPr>
                <w:rFonts w:hint="eastAsia"/>
                <w:rtl/>
              </w:rPr>
              <w:t>שעה</w:t>
            </w:r>
            <w:r w:rsidR="006F212B">
              <w:rPr>
                <w:rtl/>
              </w:rPr>
              <w:t>)</w:t>
            </w:r>
            <w:r w:rsidRPr="0033497C">
              <w:rPr>
                <w:rtl/>
              </w:rPr>
              <w:t xml:space="preserve">, </w:t>
            </w:r>
            <w:r w:rsidRPr="0033497C">
              <w:rPr>
                <w:rFonts w:hint="eastAsia"/>
                <w:rtl/>
              </w:rPr>
              <w:t>התשע</w:t>
            </w:r>
            <w:r w:rsidRPr="0033497C">
              <w:rPr>
                <w:rtl/>
              </w:rPr>
              <w:t>"ב–2012</w:t>
            </w:r>
            <w:r w:rsidRPr="00DA7865">
              <w:rPr>
                <w:vertAlign w:val="superscript"/>
                <w:rtl/>
              </w:rPr>
              <w:footnoteReference w:id="3"/>
            </w:r>
            <w:r w:rsidRPr="0033497C">
              <w:rPr>
                <w:rtl/>
              </w:rPr>
              <w:t xml:space="preserve">, </w:t>
            </w:r>
            <w:r w:rsidR="009C7679" w:rsidRPr="0033497C">
              <w:rPr>
                <w:rFonts w:hint="eastAsia"/>
                <w:rtl/>
              </w:rPr>
              <w:t>סעיפים</w:t>
            </w:r>
            <w:r w:rsidR="009C7679" w:rsidRPr="0033497C">
              <w:rPr>
                <w:rtl/>
              </w:rPr>
              <w:t xml:space="preserve"> 3 ו-4 – </w:t>
            </w:r>
            <w:r w:rsidRPr="0033497C">
              <w:rPr>
                <w:rFonts w:hint="eastAsia"/>
                <w:rtl/>
              </w:rPr>
              <w:t>בטלים</w:t>
            </w:r>
            <w:r w:rsidRPr="0033497C">
              <w:rPr>
                <w:rtl/>
              </w:rPr>
              <w:t xml:space="preserve">. </w:t>
            </w:r>
          </w:p>
        </w:tc>
      </w:tr>
      <w:tr w:rsidR="00987E30" w14:paraId="4D206EED" w14:textId="77777777" w:rsidTr="00DA7865">
        <w:trPr>
          <w:cantSplit/>
        </w:trPr>
        <w:tc>
          <w:tcPr>
            <w:tcW w:w="1871" w:type="dxa"/>
          </w:tcPr>
          <w:p w14:paraId="60058C0D" w14:textId="5F58346A" w:rsidR="00987E30" w:rsidRPr="0033497C" w:rsidRDefault="00630571" w:rsidP="00DA7865">
            <w:pPr>
              <w:pStyle w:val="TableSideHeading"/>
              <w:rPr>
                <w:rtl/>
              </w:rPr>
            </w:pPr>
            <w:r w:rsidRPr="0033497C">
              <w:rPr>
                <w:rFonts w:hint="eastAsia"/>
                <w:rtl/>
              </w:rPr>
              <w:t>תיקון</w:t>
            </w:r>
            <w:r w:rsidRPr="0033497C">
              <w:rPr>
                <w:rtl/>
              </w:rPr>
              <w:t xml:space="preserve"> </w:t>
            </w:r>
            <w:r w:rsidRPr="0033497C">
              <w:rPr>
                <w:rFonts w:hint="eastAsia"/>
                <w:rtl/>
              </w:rPr>
              <w:t>חוק</w:t>
            </w:r>
            <w:r w:rsidRPr="0033497C">
              <w:rPr>
                <w:rtl/>
              </w:rPr>
              <w:t xml:space="preserve"> </w:t>
            </w:r>
            <w:r w:rsidRPr="0033497C">
              <w:rPr>
                <w:rFonts w:hint="eastAsia"/>
                <w:rtl/>
              </w:rPr>
              <w:t>בתי</w:t>
            </w:r>
            <w:r w:rsidRPr="0033497C">
              <w:rPr>
                <w:rtl/>
              </w:rPr>
              <w:t xml:space="preserve"> </w:t>
            </w:r>
            <w:r w:rsidRPr="0033497C">
              <w:rPr>
                <w:rFonts w:hint="eastAsia"/>
                <w:rtl/>
              </w:rPr>
              <w:t>משפט</w:t>
            </w:r>
            <w:r w:rsidRPr="0033497C">
              <w:rPr>
                <w:rtl/>
              </w:rPr>
              <w:t xml:space="preserve"> </w:t>
            </w:r>
            <w:r w:rsidRPr="0033497C">
              <w:rPr>
                <w:rFonts w:hint="eastAsia"/>
                <w:rtl/>
              </w:rPr>
              <w:t>לעניינים</w:t>
            </w:r>
            <w:r w:rsidRPr="0033497C">
              <w:rPr>
                <w:rtl/>
              </w:rPr>
              <w:t xml:space="preserve"> </w:t>
            </w:r>
            <w:r w:rsidRPr="0033497C">
              <w:rPr>
                <w:rFonts w:hint="eastAsia"/>
                <w:rtl/>
              </w:rPr>
              <w:t>מינהליים</w:t>
            </w:r>
          </w:p>
        </w:tc>
        <w:tc>
          <w:tcPr>
            <w:tcW w:w="624" w:type="dxa"/>
          </w:tcPr>
          <w:p w14:paraId="4FDAB17A" w14:textId="450CC59D" w:rsidR="00987E30" w:rsidRPr="0033497C" w:rsidRDefault="00630571" w:rsidP="00DA7865">
            <w:pPr>
              <w:pStyle w:val="TableText"/>
              <w:rPr>
                <w:rtl/>
              </w:rPr>
            </w:pPr>
            <w:r w:rsidRPr="0033497C">
              <w:rPr>
                <w:rtl/>
              </w:rPr>
              <w:t>4.</w:t>
            </w:r>
          </w:p>
        </w:tc>
        <w:tc>
          <w:tcPr>
            <w:tcW w:w="7143" w:type="dxa"/>
          </w:tcPr>
          <w:p w14:paraId="13D77E99" w14:textId="0BDE8BC7" w:rsidR="00987E30" w:rsidRPr="0033497C" w:rsidRDefault="00987E30" w:rsidP="00DA7865">
            <w:pPr>
              <w:pStyle w:val="TableBlock"/>
              <w:rPr>
                <w:rtl/>
              </w:rPr>
            </w:pPr>
            <w:r w:rsidRPr="0033497C">
              <w:rPr>
                <w:rFonts w:hint="eastAsia"/>
                <w:rtl/>
              </w:rPr>
              <w:t>בחוק</w:t>
            </w:r>
            <w:r w:rsidRPr="0033497C">
              <w:rPr>
                <w:rtl/>
              </w:rPr>
              <w:t xml:space="preserve"> </w:t>
            </w:r>
            <w:r w:rsidRPr="0033497C">
              <w:rPr>
                <w:rFonts w:hint="eastAsia"/>
                <w:rtl/>
              </w:rPr>
              <w:t>בתי</w:t>
            </w:r>
            <w:r w:rsidRPr="0033497C">
              <w:rPr>
                <w:rtl/>
              </w:rPr>
              <w:t xml:space="preserve"> </w:t>
            </w:r>
            <w:r w:rsidRPr="0033497C">
              <w:rPr>
                <w:rFonts w:hint="eastAsia"/>
                <w:rtl/>
              </w:rPr>
              <w:t>משפט</w:t>
            </w:r>
            <w:r w:rsidRPr="0033497C">
              <w:rPr>
                <w:rtl/>
              </w:rPr>
              <w:t xml:space="preserve"> </w:t>
            </w:r>
            <w:r w:rsidRPr="0033497C">
              <w:rPr>
                <w:rFonts w:hint="eastAsia"/>
                <w:rtl/>
              </w:rPr>
              <w:t>לעניינים</w:t>
            </w:r>
            <w:r w:rsidRPr="0033497C">
              <w:rPr>
                <w:rtl/>
              </w:rPr>
              <w:t xml:space="preserve"> </w:t>
            </w:r>
            <w:r w:rsidRPr="0033497C">
              <w:rPr>
                <w:rFonts w:hint="eastAsia"/>
                <w:rtl/>
              </w:rPr>
              <w:t>מינהליים</w:t>
            </w:r>
            <w:r w:rsidRPr="0033497C">
              <w:rPr>
                <w:rtl/>
              </w:rPr>
              <w:t xml:space="preserve">, </w:t>
            </w:r>
            <w:r w:rsidRPr="0033497C">
              <w:rPr>
                <w:rFonts w:hint="eastAsia"/>
                <w:rtl/>
              </w:rPr>
              <w:t>התש</w:t>
            </w:r>
            <w:r w:rsidRPr="0033497C">
              <w:rPr>
                <w:rtl/>
              </w:rPr>
              <w:t>"ס</w:t>
            </w:r>
            <w:r w:rsidR="00630571" w:rsidRPr="0033497C">
              <w:rPr>
                <w:rtl/>
              </w:rPr>
              <w:t>–</w:t>
            </w:r>
            <w:r w:rsidRPr="0033497C">
              <w:rPr>
                <w:rtl/>
              </w:rPr>
              <w:t>2000</w:t>
            </w:r>
            <w:r w:rsidRPr="00DA7865">
              <w:rPr>
                <w:vertAlign w:val="superscript"/>
                <w:rtl/>
              </w:rPr>
              <w:footnoteReference w:id="4"/>
            </w:r>
            <w:r w:rsidRPr="0033497C">
              <w:rPr>
                <w:rtl/>
              </w:rPr>
              <w:t xml:space="preserve">, </w:t>
            </w:r>
            <w:r w:rsidRPr="0033497C">
              <w:rPr>
                <w:rFonts w:hint="eastAsia"/>
                <w:rtl/>
              </w:rPr>
              <w:t>בתוספת</w:t>
            </w:r>
            <w:r w:rsidRPr="0033497C">
              <w:rPr>
                <w:rtl/>
              </w:rPr>
              <w:t xml:space="preserve"> </w:t>
            </w:r>
            <w:r w:rsidRPr="0033497C">
              <w:rPr>
                <w:rFonts w:hint="eastAsia"/>
                <w:rtl/>
              </w:rPr>
              <w:t>השנ</w:t>
            </w:r>
            <w:r w:rsidR="00360035">
              <w:rPr>
                <w:rFonts w:hint="cs"/>
                <w:rtl/>
              </w:rPr>
              <w:t>י</w:t>
            </w:r>
            <w:r w:rsidRPr="0033497C">
              <w:rPr>
                <w:rFonts w:hint="eastAsia"/>
                <w:rtl/>
              </w:rPr>
              <w:t>יה</w:t>
            </w:r>
            <w:r w:rsidRPr="0033497C">
              <w:rPr>
                <w:rtl/>
              </w:rPr>
              <w:t xml:space="preserve">, אחרי פרט 17 יבוא: </w:t>
            </w:r>
          </w:p>
        </w:tc>
      </w:tr>
      <w:tr w:rsidR="00987E30" w14:paraId="4F56ED60" w14:textId="77777777" w:rsidTr="00DA7865">
        <w:trPr>
          <w:cantSplit/>
        </w:trPr>
        <w:tc>
          <w:tcPr>
            <w:tcW w:w="1871" w:type="dxa"/>
          </w:tcPr>
          <w:p w14:paraId="089FB956" w14:textId="698F3A6B" w:rsidR="00987E30" w:rsidRDefault="00987E30" w:rsidP="00987E30">
            <w:pPr>
              <w:pStyle w:val="TableSideHeading"/>
              <w:keepLines w:val="0"/>
              <w:rPr>
                <w:rtl/>
              </w:rPr>
            </w:pPr>
          </w:p>
        </w:tc>
        <w:tc>
          <w:tcPr>
            <w:tcW w:w="624" w:type="dxa"/>
          </w:tcPr>
          <w:p w14:paraId="7295DE4C" w14:textId="77777777" w:rsidR="00987E30" w:rsidRDefault="00987E30" w:rsidP="00987E30">
            <w:pPr>
              <w:pStyle w:val="TableText"/>
              <w:rPr>
                <w:rtl/>
              </w:rPr>
            </w:pPr>
          </w:p>
        </w:tc>
        <w:tc>
          <w:tcPr>
            <w:tcW w:w="7143" w:type="dxa"/>
          </w:tcPr>
          <w:p w14:paraId="7A7E0371" w14:textId="3604BBFC" w:rsidR="00987E30" w:rsidRPr="0033497C" w:rsidRDefault="00630571" w:rsidP="00DA7865">
            <w:pPr>
              <w:pStyle w:val="TableBlock"/>
              <w:rPr>
                <w:rtl/>
              </w:rPr>
            </w:pPr>
            <w:r w:rsidRPr="0033497C">
              <w:rPr>
                <w:rtl/>
              </w:rPr>
              <w:t>"17א.</w:t>
            </w:r>
            <w:r w:rsidR="006F212B">
              <w:rPr>
                <w:rtl/>
              </w:rPr>
              <w:tab/>
            </w:r>
            <w:r w:rsidRPr="0033497C">
              <w:rPr>
                <w:rFonts w:hint="eastAsia"/>
                <w:rtl/>
              </w:rPr>
              <w:t>ערעור</w:t>
            </w:r>
            <w:r w:rsidRPr="0033497C">
              <w:rPr>
                <w:rtl/>
              </w:rPr>
              <w:t xml:space="preserve"> </w:t>
            </w:r>
            <w:r w:rsidRPr="0033497C">
              <w:rPr>
                <w:rFonts w:hint="eastAsia"/>
                <w:rtl/>
              </w:rPr>
              <w:t>על</w:t>
            </w:r>
            <w:r w:rsidRPr="0033497C">
              <w:rPr>
                <w:rtl/>
              </w:rPr>
              <w:t xml:space="preserve"> </w:t>
            </w:r>
            <w:r w:rsidRPr="0033497C">
              <w:rPr>
                <w:rFonts w:hint="eastAsia"/>
                <w:rtl/>
              </w:rPr>
              <w:t>החלטת</w:t>
            </w:r>
            <w:r w:rsidRPr="0033497C">
              <w:rPr>
                <w:rtl/>
              </w:rPr>
              <w:t xml:space="preserve"> </w:t>
            </w:r>
            <w:r w:rsidRPr="0033497C">
              <w:rPr>
                <w:rFonts w:hint="eastAsia"/>
                <w:rtl/>
              </w:rPr>
              <w:t>פוקד</w:t>
            </w:r>
            <w:r w:rsidRPr="0033497C">
              <w:rPr>
                <w:rtl/>
              </w:rPr>
              <w:t xml:space="preserve"> </w:t>
            </w:r>
            <w:r w:rsidRPr="0033497C">
              <w:rPr>
                <w:rFonts w:hint="eastAsia"/>
                <w:rtl/>
              </w:rPr>
              <w:t>לבטל</w:t>
            </w:r>
            <w:r w:rsidRPr="0033497C">
              <w:rPr>
                <w:rtl/>
              </w:rPr>
              <w:t xml:space="preserve"> </w:t>
            </w:r>
            <w:r w:rsidRPr="0033497C">
              <w:rPr>
                <w:rFonts w:hint="eastAsia"/>
                <w:rtl/>
              </w:rPr>
              <w:t>פטור</w:t>
            </w:r>
            <w:r w:rsidRPr="0033497C">
              <w:rPr>
                <w:rtl/>
              </w:rPr>
              <w:t xml:space="preserve"> </w:t>
            </w:r>
            <w:r w:rsidRPr="0033497C">
              <w:rPr>
                <w:rFonts w:hint="eastAsia"/>
                <w:rtl/>
              </w:rPr>
              <w:t>שניתן</w:t>
            </w:r>
            <w:r w:rsidRPr="0033497C">
              <w:rPr>
                <w:rtl/>
              </w:rPr>
              <w:t xml:space="preserve"> </w:t>
            </w:r>
            <w:r w:rsidRPr="0033497C">
              <w:rPr>
                <w:rFonts w:hint="eastAsia"/>
                <w:rtl/>
              </w:rPr>
              <w:t>למיועדת</w:t>
            </w:r>
            <w:r w:rsidRPr="0033497C">
              <w:rPr>
                <w:rtl/>
              </w:rPr>
              <w:t xml:space="preserve"> </w:t>
            </w:r>
            <w:r w:rsidRPr="0033497C">
              <w:rPr>
                <w:rFonts w:hint="eastAsia"/>
                <w:rtl/>
              </w:rPr>
              <w:t>לשירות</w:t>
            </w:r>
            <w:r w:rsidRPr="0033497C">
              <w:rPr>
                <w:rtl/>
              </w:rPr>
              <w:t xml:space="preserve"> </w:t>
            </w:r>
            <w:r w:rsidRPr="0033497C">
              <w:rPr>
                <w:rFonts w:hint="eastAsia"/>
                <w:rtl/>
              </w:rPr>
              <w:t>ב</w:t>
            </w:r>
            <w:r w:rsidR="0033497C" w:rsidRPr="0033497C">
              <w:rPr>
                <w:rFonts w:hint="eastAsia"/>
                <w:rtl/>
              </w:rPr>
              <w:t>י</w:t>
            </w:r>
            <w:r w:rsidRPr="0033497C">
              <w:rPr>
                <w:rFonts w:hint="eastAsia"/>
                <w:rtl/>
              </w:rPr>
              <w:t>טחון</w:t>
            </w:r>
            <w:r w:rsidRPr="0033497C">
              <w:rPr>
                <w:rtl/>
              </w:rPr>
              <w:t xml:space="preserve"> </w:t>
            </w:r>
            <w:r w:rsidRPr="0033497C">
              <w:rPr>
                <w:rFonts w:hint="eastAsia"/>
                <w:rtl/>
              </w:rPr>
              <w:t>לפי</w:t>
            </w:r>
            <w:r w:rsidRPr="0033497C">
              <w:rPr>
                <w:rtl/>
              </w:rPr>
              <w:t xml:space="preserve"> </w:t>
            </w:r>
            <w:r w:rsidRPr="0033497C">
              <w:rPr>
                <w:rFonts w:hint="eastAsia"/>
                <w:rtl/>
              </w:rPr>
              <w:t>סעיף</w:t>
            </w:r>
            <w:r w:rsidRPr="0033497C">
              <w:rPr>
                <w:rtl/>
              </w:rPr>
              <w:t xml:space="preserve"> 40 </w:t>
            </w:r>
            <w:r w:rsidRPr="0033497C">
              <w:rPr>
                <w:rFonts w:hint="eastAsia"/>
                <w:rtl/>
              </w:rPr>
              <w:t>לחוק</w:t>
            </w:r>
            <w:r w:rsidRPr="0033497C">
              <w:rPr>
                <w:rtl/>
              </w:rPr>
              <w:t xml:space="preserve"> </w:t>
            </w:r>
            <w:r w:rsidRPr="0033497C">
              <w:rPr>
                <w:rFonts w:hint="eastAsia"/>
                <w:rtl/>
              </w:rPr>
              <w:t>שירות</w:t>
            </w:r>
            <w:r w:rsidRPr="0033497C">
              <w:rPr>
                <w:rtl/>
              </w:rPr>
              <w:t xml:space="preserve"> </w:t>
            </w:r>
            <w:r w:rsidRPr="0033497C">
              <w:rPr>
                <w:rFonts w:hint="eastAsia"/>
                <w:rtl/>
              </w:rPr>
              <w:t>ב</w:t>
            </w:r>
            <w:r w:rsidR="0033497C" w:rsidRPr="0033497C">
              <w:rPr>
                <w:rFonts w:hint="eastAsia"/>
                <w:rtl/>
              </w:rPr>
              <w:t>י</w:t>
            </w:r>
            <w:r w:rsidRPr="0033497C">
              <w:rPr>
                <w:rFonts w:hint="eastAsia"/>
                <w:rtl/>
              </w:rPr>
              <w:t>טחון</w:t>
            </w:r>
            <w:r w:rsidRPr="0033497C">
              <w:rPr>
                <w:rtl/>
              </w:rPr>
              <w:t xml:space="preserve"> [נוסח </w:t>
            </w:r>
            <w:r w:rsidRPr="0033497C">
              <w:rPr>
                <w:rFonts w:hint="eastAsia"/>
                <w:rtl/>
              </w:rPr>
              <w:t>משולב</w:t>
            </w:r>
            <w:r w:rsidRPr="0033497C">
              <w:rPr>
                <w:rtl/>
              </w:rPr>
              <w:t xml:space="preserve">], </w:t>
            </w:r>
            <w:r w:rsidRPr="0033497C">
              <w:rPr>
                <w:rFonts w:hint="eastAsia"/>
                <w:rtl/>
              </w:rPr>
              <w:t>התשמ</w:t>
            </w:r>
            <w:r w:rsidRPr="0033497C">
              <w:rPr>
                <w:rtl/>
              </w:rPr>
              <w:t>"ו</w:t>
            </w:r>
            <w:r w:rsidRPr="00DA7865">
              <w:rPr>
                <w:rtl/>
              </w:rPr>
              <w:t>–</w:t>
            </w:r>
            <w:r w:rsidRPr="0033497C">
              <w:rPr>
                <w:rtl/>
              </w:rPr>
              <w:t>1986."</w:t>
            </w:r>
          </w:p>
        </w:tc>
      </w:tr>
    </w:tbl>
    <w:p w14:paraId="7F6961CA" w14:textId="77777777" w:rsidR="002D1EE3" w:rsidRDefault="002D1EE3" w:rsidP="002D1EE3">
      <w:pPr>
        <w:pStyle w:val="HeadDivreiHesber"/>
        <w:rPr>
          <w:rtl/>
        </w:rPr>
      </w:pPr>
      <w:r w:rsidRPr="0027450A">
        <w:rPr>
          <w:rFonts w:hint="cs"/>
          <w:rtl/>
        </w:rPr>
        <w:t>דברי הסבר</w:t>
      </w:r>
    </w:p>
    <w:p w14:paraId="2D42000F" w14:textId="6EAC86C4" w:rsidR="00987E30" w:rsidRPr="006B0721" w:rsidRDefault="00987E30" w:rsidP="006B0721">
      <w:pPr>
        <w:pStyle w:val="Hesber"/>
        <w:rPr>
          <w:rtl/>
        </w:rPr>
      </w:pPr>
      <w:r w:rsidRPr="006B0721">
        <w:rPr>
          <w:rFonts w:hint="cs"/>
          <w:rtl/>
        </w:rPr>
        <w:t>חובת השירות בצה"ל מוטלת על כל אזרח ישראלי ותושב קבע בארץ, מכוח חוק שירות ב</w:t>
      </w:r>
      <w:r w:rsidR="001725ED" w:rsidRPr="006B0721">
        <w:rPr>
          <w:rFonts w:hint="cs"/>
          <w:rtl/>
        </w:rPr>
        <w:t>י</w:t>
      </w:r>
      <w:r w:rsidRPr="006B0721">
        <w:rPr>
          <w:rFonts w:hint="cs"/>
          <w:rtl/>
        </w:rPr>
        <w:t>טחון</w:t>
      </w:r>
      <w:r w:rsidR="001725ED" w:rsidRPr="006B0721">
        <w:rPr>
          <w:rFonts w:hint="cs"/>
          <w:rtl/>
        </w:rPr>
        <w:t xml:space="preserve"> [נוסח משולב], התשמ"ו</w:t>
      </w:r>
      <w:r w:rsidR="001725ED" w:rsidRPr="006B0721">
        <w:rPr>
          <w:rtl/>
        </w:rPr>
        <w:t>–</w:t>
      </w:r>
      <w:r w:rsidR="001725ED" w:rsidRPr="006B0721">
        <w:rPr>
          <w:rFonts w:hint="cs"/>
          <w:rtl/>
        </w:rPr>
        <w:t xml:space="preserve">1986 (להלן </w:t>
      </w:r>
      <w:r w:rsidR="001725ED" w:rsidRPr="006B0721">
        <w:rPr>
          <w:rtl/>
        </w:rPr>
        <w:t>–</w:t>
      </w:r>
      <w:r w:rsidR="001725ED" w:rsidRPr="006B0721">
        <w:rPr>
          <w:rFonts w:hint="cs"/>
          <w:rtl/>
        </w:rPr>
        <w:t xml:space="preserve"> החוק)</w:t>
      </w:r>
      <w:r w:rsidRPr="006B0721">
        <w:rPr>
          <w:rFonts w:hint="cs"/>
          <w:rtl/>
        </w:rPr>
        <w:t xml:space="preserve">. </w:t>
      </w:r>
      <w:r w:rsidR="00360035" w:rsidRPr="006B0721">
        <w:rPr>
          <w:rFonts w:hint="cs"/>
          <w:rtl/>
        </w:rPr>
        <w:t>ב</w:t>
      </w:r>
      <w:r w:rsidRPr="006B0721">
        <w:rPr>
          <w:rFonts w:hint="cs"/>
          <w:rtl/>
        </w:rPr>
        <w:t xml:space="preserve">סעיף 40 לחוק </w:t>
      </w:r>
      <w:r w:rsidR="00360035" w:rsidRPr="006B0721">
        <w:rPr>
          <w:rFonts w:hint="cs"/>
          <w:rtl/>
        </w:rPr>
        <w:t>נקבע</w:t>
      </w:r>
      <w:r w:rsidRPr="006B0721">
        <w:rPr>
          <w:rFonts w:hint="cs"/>
          <w:rtl/>
        </w:rPr>
        <w:t xml:space="preserve"> חריג לחובת השירות הכללית</w:t>
      </w:r>
      <w:r w:rsidR="008C1744" w:rsidRPr="006B0721">
        <w:rPr>
          <w:rFonts w:hint="cs"/>
          <w:rtl/>
        </w:rPr>
        <w:t>,</w:t>
      </w:r>
      <w:r w:rsidRPr="006B0721">
        <w:rPr>
          <w:rFonts w:hint="cs"/>
          <w:rtl/>
        </w:rPr>
        <w:t xml:space="preserve"> ולפיו מיועדת לשירות ב</w:t>
      </w:r>
      <w:r w:rsidR="006F212B" w:rsidRPr="006B0721">
        <w:rPr>
          <w:rFonts w:hint="cs"/>
          <w:rtl/>
        </w:rPr>
        <w:t>י</w:t>
      </w:r>
      <w:r w:rsidRPr="006B0721">
        <w:rPr>
          <w:rFonts w:hint="cs"/>
          <w:rtl/>
        </w:rPr>
        <w:t>טחון שהצהירה בפני שופט או דיין של בית דין רבני כי היא שומרת על כשרות, אינה נוסעת בשבת וכי טעמים של הכרה דתית מונעים ממנה לשרת בשירות ב</w:t>
      </w:r>
      <w:r w:rsidR="001725ED" w:rsidRPr="006B0721">
        <w:rPr>
          <w:rFonts w:hint="cs"/>
          <w:rtl/>
        </w:rPr>
        <w:t>י</w:t>
      </w:r>
      <w:r w:rsidRPr="006B0721">
        <w:rPr>
          <w:rFonts w:hint="cs"/>
          <w:rtl/>
        </w:rPr>
        <w:t xml:space="preserve">טחון, תהיה פטורה משירות. </w:t>
      </w:r>
    </w:p>
    <w:p w14:paraId="5808FF23" w14:textId="59822178" w:rsidR="00987E30" w:rsidRPr="00543D57" w:rsidRDefault="00987E30" w:rsidP="004F473F">
      <w:pPr>
        <w:pStyle w:val="Hesber"/>
        <w:rPr>
          <w:rtl/>
        </w:rPr>
      </w:pPr>
      <w:r w:rsidRPr="00543D57">
        <w:rPr>
          <w:rFonts w:hint="cs"/>
          <w:rtl/>
        </w:rPr>
        <w:t>סעיפים 41 ו-42(ב) לחוק קובעים כי בניגוד לפטורים אחרים משירות שמוסדרים בחוק, פטור שניתן למיועדת לשירות ב</w:t>
      </w:r>
      <w:r w:rsidR="001725ED">
        <w:rPr>
          <w:rFonts w:hint="cs"/>
          <w:rtl/>
        </w:rPr>
        <w:t>י</w:t>
      </w:r>
      <w:r w:rsidRPr="00543D57">
        <w:rPr>
          <w:rFonts w:hint="cs"/>
          <w:rtl/>
        </w:rPr>
        <w:t>טחון מטעמי הכרה דתי</w:t>
      </w:r>
      <w:r>
        <w:rPr>
          <w:rFonts w:hint="cs"/>
          <w:rtl/>
        </w:rPr>
        <w:t>ת</w:t>
      </w:r>
      <w:r w:rsidR="001725ED">
        <w:rPr>
          <w:rFonts w:hint="cs"/>
          <w:rtl/>
        </w:rPr>
        <w:t>,</w:t>
      </w:r>
      <w:r>
        <w:rPr>
          <w:rFonts w:hint="cs"/>
          <w:rtl/>
        </w:rPr>
        <w:t xml:space="preserve"> אינו ניתן לביטול על ידי הפוקד</w:t>
      </w:r>
      <w:r w:rsidRPr="00543D57">
        <w:rPr>
          <w:rFonts w:hint="cs"/>
          <w:rtl/>
        </w:rPr>
        <w:t xml:space="preserve"> וזאת אף אם קיימות ראיות </w:t>
      </w:r>
      <w:r w:rsidRPr="00543D57">
        <w:rPr>
          <w:rFonts w:hint="cs"/>
          <w:rtl/>
        </w:rPr>
        <w:lastRenderedPageBreak/>
        <w:t xml:space="preserve">משמעותיות המצביעות על כך שהמיועדת לשירות ביטחון הצהירה הצהרה שאיננה נכונה, או אם חל שינוי </w:t>
      </w:r>
      <w:r>
        <w:rPr>
          <w:rFonts w:hint="cs"/>
          <w:rtl/>
        </w:rPr>
        <w:t>באורחות חייה</w:t>
      </w:r>
      <w:r w:rsidRPr="00543D57">
        <w:rPr>
          <w:rFonts w:hint="cs"/>
          <w:rtl/>
        </w:rPr>
        <w:t xml:space="preserve"> והטעמים שבהכרה דתית שמנעו את שירותה כבר אינם קיימים.</w:t>
      </w:r>
      <w:r>
        <w:rPr>
          <w:rFonts w:hint="cs"/>
          <w:rtl/>
        </w:rPr>
        <w:t xml:space="preserve"> </w:t>
      </w:r>
    </w:p>
    <w:p w14:paraId="18B367E0" w14:textId="413492B2" w:rsidR="008C1744" w:rsidRDefault="00987E30" w:rsidP="006F212B">
      <w:pPr>
        <w:pStyle w:val="Hesber"/>
        <w:rPr>
          <w:rtl/>
        </w:rPr>
      </w:pPr>
      <w:r w:rsidRPr="00543D57">
        <w:rPr>
          <w:rFonts w:hint="cs"/>
          <w:rtl/>
        </w:rPr>
        <w:t>לפני מספר שנים נחקק חוק שירות ב</w:t>
      </w:r>
      <w:r w:rsidR="0093579D">
        <w:rPr>
          <w:rFonts w:hint="cs"/>
          <w:rtl/>
        </w:rPr>
        <w:t>י</w:t>
      </w:r>
      <w:r w:rsidRPr="00543D57">
        <w:rPr>
          <w:rFonts w:hint="cs"/>
          <w:rtl/>
        </w:rPr>
        <w:t>טחון (</w:t>
      </w:r>
      <w:r w:rsidR="006F212B">
        <w:rPr>
          <w:rFonts w:hint="cs"/>
          <w:rtl/>
        </w:rPr>
        <w:t>תיקון מס' 18 והוראת שעה)</w:t>
      </w:r>
      <w:r w:rsidRPr="00543D57">
        <w:rPr>
          <w:rFonts w:hint="cs"/>
          <w:rtl/>
        </w:rPr>
        <w:t>, התשע"ב</w:t>
      </w:r>
      <w:r w:rsidRPr="00543D57">
        <w:rPr>
          <w:rtl/>
        </w:rPr>
        <w:t>–</w:t>
      </w:r>
      <w:r w:rsidRPr="00543D57">
        <w:rPr>
          <w:rFonts w:hint="cs"/>
          <w:rtl/>
        </w:rPr>
        <w:t xml:space="preserve">2012, </w:t>
      </w:r>
      <w:r w:rsidR="006F212B">
        <w:rPr>
          <w:rFonts w:hint="cs"/>
          <w:rtl/>
        </w:rPr>
        <w:t>ובו נקבע</w:t>
      </w:r>
      <w:r w:rsidRPr="00543D57">
        <w:rPr>
          <w:rFonts w:hint="cs"/>
          <w:rtl/>
        </w:rPr>
        <w:t>, בסעיפים 3 ו-4, מנגנון לביטול פטור שהושג על סמך הצהרה שקרית. אלא</w:t>
      </w:r>
      <w:r w:rsidR="00360035">
        <w:rPr>
          <w:rFonts w:hint="cs"/>
          <w:rtl/>
        </w:rPr>
        <w:t>,</w:t>
      </w:r>
      <w:r w:rsidRPr="00543D57">
        <w:rPr>
          <w:rFonts w:hint="cs"/>
          <w:rtl/>
        </w:rPr>
        <w:t xml:space="preserve"> שמנגנון </w:t>
      </w:r>
      <w:r w:rsidR="0093579D">
        <w:rPr>
          <w:rFonts w:hint="cs"/>
          <w:rtl/>
        </w:rPr>
        <w:t>זה</w:t>
      </w:r>
      <w:r w:rsidRPr="00543D57">
        <w:rPr>
          <w:rFonts w:hint="cs"/>
          <w:rtl/>
        </w:rPr>
        <w:t xml:space="preserve"> </w:t>
      </w:r>
      <w:r>
        <w:rPr>
          <w:rFonts w:hint="cs"/>
          <w:rtl/>
        </w:rPr>
        <w:t>מסורבל מאוד</w:t>
      </w:r>
      <w:r w:rsidRPr="00543D57">
        <w:rPr>
          <w:rFonts w:hint="cs"/>
          <w:rtl/>
        </w:rPr>
        <w:t xml:space="preserve"> ומקשה מאוד שלא לצורך על עבודת רשויות הצבא ורשויות אכיפת החוק. מאז שנחקק החוק האמור לא פורסמו תקנות ליישומו, ו</w:t>
      </w:r>
      <w:r w:rsidR="004F473F">
        <w:rPr>
          <w:rFonts w:hint="cs"/>
          <w:rtl/>
        </w:rPr>
        <w:t xml:space="preserve">לכן </w:t>
      </w:r>
      <w:r w:rsidRPr="00543D57">
        <w:rPr>
          <w:rFonts w:hint="cs"/>
          <w:rtl/>
        </w:rPr>
        <w:t xml:space="preserve">לא בוטל אף לא פטור אחד שהושג על סמך הצהרה כוזבת. </w:t>
      </w:r>
    </w:p>
    <w:p w14:paraId="26DCAE23" w14:textId="5A9D701E" w:rsidR="00987E30" w:rsidRPr="00543D57" w:rsidRDefault="00987E30" w:rsidP="006F212B">
      <w:pPr>
        <w:pStyle w:val="Hesber"/>
        <w:rPr>
          <w:rtl/>
        </w:rPr>
      </w:pPr>
      <w:r w:rsidRPr="00543D57">
        <w:rPr>
          <w:rFonts w:hint="cs"/>
          <w:rtl/>
        </w:rPr>
        <w:t xml:space="preserve">אין כל הצדקה לכך שדווקא הפטור מטעמי הכרה דתית, שהוא פטור שהתנאים לקבלתו ברורים מאוד, </w:t>
      </w:r>
      <w:r>
        <w:rPr>
          <w:rFonts w:hint="cs"/>
          <w:rtl/>
        </w:rPr>
        <w:t>יהיה</w:t>
      </w:r>
      <w:r w:rsidR="005655D5">
        <w:rPr>
          <w:rFonts w:hint="cs"/>
          <w:rtl/>
        </w:rPr>
        <w:t xml:space="preserve"> כמעט</w:t>
      </w:r>
      <w:r>
        <w:rPr>
          <w:rFonts w:hint="cs"/>
          <w:rtl/>
        </w:rPr>
        <w:t xml:space="preserve"> בלתי ניתן לביטול</w:t>
      </w:r>
      <w:r w:rsidR="0093579D">
        <w:rPr>
          <w:rFonts w:hint="cs"/>
          <w:rtl/>
        </w:rPr>
        <w:t>.</w:t>
      </w:r>
      <w:r w:rsidRPr="00543D57">
        <w:rPr>
          <w:rFonts w:hint="cs"/>
          <w:rtl/>
        </w:rPr>
        <w:t xml:space="preserve"> </w:t>
      </w:r>
      <w:r w:rsidR="004F473F">
        <w:rPr>
          <w:rFonts w:hint="cs"/>
          <w:rtl/>
        </w:rPr>
        <w:t xml:space="preserve">יש לאפשר לפוקד לבטל את הפטור בדיוק באותו האופן שבו הוא מוסמך </w:t>
      </w:r>
      <w:r w:rsidRPr="00543D57">
        <w:rPr>
          <w:rFonts w:hint="cs"/>
          <w:rtl/>
        </w:rPr>
        <w:t xml:space="preserve">לבטל פטורים אחרים, </w:t>
      </w:r>
      <w:r w:rsidR="004F473F">
        <w:rPr>
          <w:rFonts w:hint="cs"/>
          <w:rtl/>
        </w:rPr>
        <w:t xml:space="preserve">כגון </w:t>
      </w:r>
      <w:r w:rsidRPr="00543D57">
        <w:rPr>
          <w:rFonts w:hint="cs"/>
          <w:rtl/>
        </w:rPr>
        <w:t xml:space="preserve">פטור מטעמים רפואיים. </w:t>
      </w:r>
      <w:r>
        <w:rPr>
          <w:rFonts w:hint="cs"/>
          <w:rtl/>
        </w:rPr>
        <w:t>יודגש כי</w:t>
      </w:r>
      <w:r w:rsidRPr="00543D57">
        <w:rPr>
          <w:rFonts w:hint="cs"/>
          <w:rtl/>
        </w:rPr>
        <w:t xml:space="preserve"> מדובר בביטול פטור שניתן למי ששיקרה בהצהרתה ולא למי שמקיימת אורח חיים דתי. מאחר שאנו מצווים כי "מדבר שקר תרחק", </w:t>
      </w:r>
      <w:r w:rsidR="006F212B">
        <w:rPr>
          <w:rFonts w:hint="cs"/>
          <w:rtl/>
        </w:rPr>
        <w:t xml:space="preserve">מוצע לקבוע </w:t>
      </w:r>
      <w:r w:rsidRPr="00543D57">
        <w:rPr>
          <w:rFonts w:hint="cs"/>
          <w:rtl/>
        </w:rPr>
        <w:t xml:space="preserve"> מנגנון </w:t>
      </w:r>
      <w:r w:rsidR="008C1744" w:rsidRPr="00543D57">
        <w:rPr>
          <w:rFonts w:hint="cs"/>
          <w:rtl/>
        </w:rPr>
        <w:t>ש</w:t>
      </w:r>
      <w:r w:rsidR="006F212B">
        <w:rPr>
          <w:rFonts w:hint="cs"/>
          <w:rtl/>
        </w:rPr>
        <w:t>ימנע</w:t>
      </w:r>
      <w:r w:rsidR="008C1744" w:rsidRPr="00543D57">
        <w:rPr>
          <w:rFonts w:hint="cs"/>
          <w:rtl/>
        </w:rPr>
        <w:t xml:space="preserve"> </w:t>
      </w:r>
      <w:r w:rsidR="008C1744">
        <w:rPr>
          <w:rFonts w:hint="cs"/>
          <w:rtl/>
        </w:rPr>
        <w:t>השגת</w:t>
      </w:r>
      <w:r w:rsidR="008C1744" w:rsidRPr="00543D57">
        <w:rPr>
          <w:rFonts w:hint="cs"/>
          <w:rtl/>
        </w:rPr>
        <w:t xml:space="preserve"> </w:t>
      </w:r>
      <w:r w:rsidRPr="00543D57">
        <w:rPr>
          <w:rFonts w:hint="cs"/>
          <w:rtl/>
        </w:rPr>
        <w:t>יתרון למי שמשקרת.</w:t>
      </w:r>
      <w:r>
        <w:rPr>
          <w:rFonts w:hint="cs"/>
          <w:rtl/>
        </w:rPr>
        <w:t xml:space="preserve"> </w:t>
      </w:r>
      <w:r w:rsidR="008C1744">
        <w:rPr>
          <w:rFonts w:hint="cs"/>
          <w:rtl/>
        </w:rPr>
        <w:t xml:space="preserve">כך, </w:t>
      </w:r>
      <w:r w:rsidRPr="00543D57">
        <w:rPr>
          <w:rFonts w:hint="cs"/>
          <w:rtl/>
        </w:rPr>
        <w:t>רק מי שאכן מתקיימים בה התנאי</w:t>
      </w:r>
      <w:r>
        <w:rPr>
          <w:rFonts w:hint="cs"/>
          <w:rtl/>
        </w:rPr>
        <w:t>ם למתן פטור משירות צבאי תזכה בו</w:t>
      </w:r>
      <w:r w:rsidRPr="00543D57">
        <w:rPr>
          <w:rFonts w:hint="cs"/>
          <w:rtl/>
        </w:rPr>
        <w:t xml:space="preserve"> ולא מי שהצהירה </w:t>
      </w:r>
      <w:r w:rsidR="008C1744">
        <w:rPr>
          <w:rFonts w:hint="cs"/>
          <w:rtl/>
        </w:rPr>
        <w:t xml:space="preserve">הצהרה </w:t>
      </w:r>
      <w:r w:rsidRPr="00543D57">
        <w:rPr>
          <w:rFonts w:hint="cs"/>
          <w:rtl/>
        </w:rPr>
        <w:t>כ</w:t>
      </w:r>
      <w:r w:rsidR="008C1744">
        <w:rPr>
          <w:rFonts w:hint="cs"/>
          <w:rtl/>
        </w:rPr>
        <w:t>ו</w:t>
      </w:r>
      <w:r w:rsidRPr="00543D57">
        <w:rPr>
          <w:rFonts w:hint="cs"/>
          <w:rtl/>
        </w:rPr>
        <w:t>זב</w:t>
      </w:r>
      <w:r w:rsidR="008C1744">
        <w:rPr>
          <w:rFonts w:hint="cs"/>
          <w:rtl/>
        </w:rPr>
        <w:t>ת</w:t>
      </w:r>
      <w:r w:rsidRPr="00543D57">
        <w:rPr>
          <w:rFonts w:hint="cs"/>
          <w:rtl/>
        </w:rPr>
        <w:t>.</w:t>
      </w:r>
    </w:p>
    <w:p w14:paraId="4BDF072C" w14:textId="37D643B1" w:rsidR="008C1744" w:rsidRDefault="00987E30" w:rsidP="006F212B">
      <w:pPr>
        <w:pStyle w:val="Hesber"/>
        <w:rPr>
          <w:rtl/>
        </w:rPr>
      </w:pPr>
      <w:r w:rsidRPr="00543D57">
        <w:rPr>
          <w:rFonts w:hint="cs"/>
          <w:rtl/>
        </w:rPr>
        <w:t>על כ</w:t>
      </w:r>
      <w:r>
        <w:rPr>
          <w:rFonts w:hint="cs"/>
          <w:rtl/>
        </w:rPr>
        <w:t xml:space="preserve">ן, מוצע לתקן את </w:t>
      </w:r>
      <w:r w:rsidR="006F212B">
        <w:rPr>
          <w:rFonts w:hint="cs"/>
          <w:rtl/>
        </w:rPr>
        <w:t xml:space="preserve">החוק </w:t>
      </w:r>
      <w:r w:rsidRPr="00543D57">
        <w:rPr>
          <w:rFonts w:hint="cs"/>
          <w:rtl/>
        </w:rPr>
        <w:t>ולקבוע כי ביטול פטור מטעמי ה</w:t>
      </w:r>
      <w:r>
        <w:rPr>
          <w:rFonts w:hint="cs"/>
          <w:rtl/>
        </w:rPr>
        <w:t xml:space="preserve">כרה דתית </w:t>
      </w:r>
      <w:r w:rsidR="006F212B">
        <w:rPr>
          <w:rFonts w:hint="cs"/>
          <w:rtl/>
        </w:rPr>
        <w:t>י</w:t>
      </w:r>
      <w:r>
        <w:rPr>
          <w:rFonts w:hint="cs"/>
          <w:rtl/>
        </w:rPr>
        <w:t>יעשה באופן שבו מבוטלים</w:t>
      </w:r>
      <w:r w:rsidRPr="00543D57">
        <w:rPr>
          <w:rFonts w:hint="cs"/>
          <w:rtl/>
        </w:rPr>
        <w:t xml:space="preserve"> כלל הפטורים משירות ב</w:t>
      </w:r>
      <w:r w:rsidR="004F473F">
        <w:rPr>
          <w:rFonts w:hint="cs"/>
          <w:rtl/>
        </w:rPr>
        <w:t>י</w:t>
      </w:r>
      <w:r w:rsidRPr="00543D57">
        <w:rPr>
          <w:rFonts w:hint="cs"/>
          <w:rtl/>
        </w:rPr>
        <w:t>טחון</w:t>
      </w:r>
      <w:r w:rsidR="004F473F">
        <w:rPr>
          <w:rFonts w:hint="cs"/>
          <w:rtl/>
        </w:rPr>
        <w:t>,</w:t>
      </w:r>
      <w:r w:rsidRPr="00543D57">
        <w:rPr>
          <w:rFonts w:hint="cs"/>
          <w:rtl/>
        </w:rPr>
        <w:t xml:space="preserve"> על פי החלטה של הפוקד</w:t>
      </w:r>
      <w:r>
        <w:rPr>
          <w:rFonts w:hint="cs"/>
          <w:rtl/>
        </w:rPr>
        <w:t xml:space="preserve">, אם השתכנע לאחר שנתן למיועדת </w:t>
      </w:r>
      <w:r w:rsidRPr="00543D57">
        <w:rPr>
          <w:rFonts w:hint="cs"/>
          <w:rtl/>
        </w:rPr>
        <w:t>שירות ב</w:t>
      </w:r>
      <w:r w:rsidR="006F212B">
        <w:rPr>
          <w:rFonts w:hint="cs"/>
          <w:rtl/>
        </w:rPr>
        <w:t>י</w:t>
      </w:r>
      <w:r w:rsidRPr="00543D57">
        <w:rPr>
          <w:rFonts w:hint="cs"/>
          <w:rtl/>
        </w:rPr>
        <w:t xml:space="preserve">טחון הזדמנות להשמיע </w:t>
      </w:r>
      <w:r>
        <w:rPr>
          <w:rFonts w:hint="cs"/>
          <w:rtl/>
        </w:rPr>
        <w:t>את טענותיה, כי הפטור הושג במרמה</w:t>
      </w:r>
      <w:r w:rsidRPr="00543D57">
        <w:rPr>
          <w:rFonts w:hint="cs"/>
          <w:rtl/>
        </w:rPr>
        <w:t xml:space="preserve"> או כי הנסיבות שהצדיקו את נתינתו אינן קיימות עוד.</w:t>
      </w:r>
      <w:r>
        <w:rPr>
          <w:rFonts w:hint="cs"/>
          <w:rtl/>
        </w:rPr>
        <w:t xml:space="preserve"> </w:t>
      </w:r>
      <w:r w:rsidR="005655D5">
        <w:rPr>
          <w:rFonts w:hint="cs"/>
          <w:rtl/>
        </w:rPr>
        <w:t xml:space="preserve">כמו כן, </w:t>
      </w:r>
      <w:r w:rsidRPr="00543D57">
        <w:rPr>
          <w:rFonts w:hint="cs"/>
          <w:rtl/>
        </w:rPr>
        <w:t>על מנת לאפשר בקרה שיפוטית על החלטות הפוקד בהקשר הזה, מוצע לקבוע כי בית המשפט המחוזי בשבתו כבית משפט לעניינים מנהליים יהיה מוסמך לדון בערעורים על החלטה של פוקד לבטל פטור שניתן מטעמי הכרה דתית.</w:t>
      </w:r>
      <w:r w:rsidR="008C1744">
        <w:rPr>
          <w:rFonts w:hint="cs"/>
          <w:rtl/>
        </w:rPr>
        <w:t xml:space="preserve"> </w:t>
      </w:r>
    </w:p>
    <w:p w14:paraId="7F6CD6AF" w14:textId="768C1E38" w:rsidR="00154DC3" w:rsidRDefault="00154DC3" w:rsidP="006B0721">
      <w:pPr>
        <w:pStyle w:val="Hesber"/>
        <w:rPr>
          <w:rtl/>
        </w:rPr>
      </w:pPr>
      <w:r>
        <w:rPr>
          <w:rtl/>
        </w:rPr>
        <w:t xml:space="preserve">הצעות חוק </w:t>
      </w:r>
      <w:r>
        <w:rPr>
          <w:rFonts w:hint="cs"/>
          <w:rtl/>
        </w:rPr>
        <w:t>דומות בעיקרן</w:t>
      </w:r>
      <w:r>
        <w:rPr>
          <w:rtl/>
        </w:rPr>
        <w:t xml:space="preserve"> הונחו על שולחן הכנסת התשע-עשרה</w:t>
      </w:r>
      <w:r w:rsidR="006F212B">
        <w:rPr>
          <w:rFonts w:hint="cs"/>
          <w:rtl/>
        </w:rPr>
        <w:t xml:space="preserve"> ועל שולחן הכנסת העשרים על ידי חבר</w:t>
      </w:r>
      <w:r>
        <w:rPr>
          <w:rFonts w:hint="cs"/>
          <w:rtl/>
        </w:rPr>
        <w:t xml:space="preserve"> הכנסת עפר של</w:t>
      </w:r>
      <w:r w:rsidR="006F212B">
        <w:rPr>
          <w:rFonts w:hint="cs"/>
          <w:rtl/>
        </w:rPr>
        <w:t>ח וקבוצת חברי הכנסת (פ/2343/19;</w:t>
      </w:r>
      <w:r w:rsidR="006F212B">
        <w:rPr>
          <w:rtl/>
        </w:rPr>
        <w:t xml:space="preserve"> </w:t>
      </w:r>
      <w:r>
        <w:rPr>
          <w:rtl/>
        </w:rPr>
        <w:t>פ/</w:t>
      </w:r>
      <w:r>
        <w:rPr>
          <w:rFonts w:hint="cs"/>
          <w:rtl/>
        </w:rPr>
        <w:t>1725/20</w:t>
      </w:r>
      <w:r w:rsidR="006F212B">
        <w:rPr>
          <w:rFonts w:hint="cs"/>
          <w:rtl/>
        </w:rPr>
        <w:t xml:space="preserve">; </w:t>
      </w:r>
      <w:r w:rsidR="00E50720">
        <w:rPr>
          <w:rFonts w:hint="cs"/>
          <w:rtl/>
        </w:rPr>
        <w:t>הוסרה מסדר היום ביום ג' בשבט התשע"ו (13 בינואר 2016)</w:t>
      </w:r>
      <w:r w:rsidR="00666590">
        <w:rPr>
          <w:rFonts w:hint="cs"/>
          <w:rtl/>
        </w:rPr>
        <w:t>;</w:t>
      </w:r>
      <w:r w:rsidR="006F212B">
        <w:rPr>
          <w:rFonts w:hint="cs"/>
          <w:rtl/>
        </w:rPr>
        <w:t xml:space="preserve"> </w:t>
      </w:r>
      <w:r>
        <w:rPr>
          <w:rtl/>
        </w:rPr>
        <w:t>פ/</w:t>
      </w:r>
      <w:r w:rsidR="00ED40E5">
        <w:rPr>
          <w:rFonts w:hint="cs"/>
          <w:rtl/>
        </w:rPr>
        <w:t>3494/20</w:t>
      </w:r>
      <w:r>
        <w:rPr>
          <w:rFonts w:hint="cs"/>
          <w:rtl/>
        </w:rPr>
        <w:t xml:space="preserve"> הוסרה מסדר היום ביום כ"ז בטבת התשע"ז (25 בינואר 2017)</w:t>
      </w:r>
      <w:r w:rsidR="006F212B">
        <w:rPr>
          <w:rFonts w:hint="cs"/>
          <w:rtl/>
        </w:rPr>
        <w:t xml:space="preserve">; </w:t>
      </w:r>
      <w:r w:rsidR="006B0721">
        <w:rPr>
          <w:rFonts w:hint="cs"/>
          <w:rtl/>
        </w:rPr>
        <w:t>פ/4602/20</w:t>
      </w:r>
      <w:r>
        <w:rPr>
          <w:rtl/>
        </w:rPr>
        <w:t>).</w:t>
      </w:r>
    </w:p>
    <w:p w14:paraId="498B0D5A" w14:textId="77777777" w:rsidR="006B0721" w:rsidRDefault="006B0721" w:rsidP="006B0721">
      <w:pPr>
        <w:pStyle w:val="Hesber"/>
        <w:rPr>
          <w:rtl/>
        </w:rPr>
      </w:pPr>
    </w:p>
    <w:p w14:paraId="74156800" w14:textId="77777777" w:rsidR="006B0721" w:rsidRDefault="006B0721" w:rsidP="006B0721">
      <w:pPr>
        <w:pStyle w:val="Hesber"/>
        <w:rPr>
          <w:rtl/>
        </w:rPr>
      </w:pPr>
    </w:p>
    <w:p w14:paraId="7443CF64" w14:textId="77777777" w:rsidR="006B0721" w:rsidRDefault="006B0721" w:rsidP="006B0721">
      <w:pPr>
        <w:pStyle w:val="Hesber"/>
        <w:rPr>
          <w:rtl/>
        </w:rPr>
      </w:pPr>
    </w:p>
    <w:p w14:paraId="68783838" w14:textId="77777777" w:rsidR="006B0721" w:rsidRDefault="006B0721" w:rsidP="006B0721">
      <w:pPr>
        <w:pStyle w:val="Hesber"/>
        <w:rPr>
          <w:rtl/>
        </w:rPr>
      </w:pPr>
      <w:bookmarkStart w:id="8" w:name="_GoBack"/>
      <w:bookmarkEnd w:id="8"/>
    </w:p>
    <w:p w14:paraId="53EFD7FD" w14:textId="77777777" w:rsidR="006B0721" w:rsidRDefault="006B0721" w:rsidP="006B0721">
      <w:pPr>
        <w:pStyle w:val="Hesber"/>
        <w:rPr>
          <w:rtl/>
        </w:rPr>
      </w:pPr>
      <w:r>
        <w:rPr>
          <w:rtl/>
        </w:rPr>
        <w:t>---------------------------------</w:t>
      </w:r>
    </w:p>
    <w:p w14:paraId="333DE5A5" w14:textId="77777777" w:rsidR="006B0721" w:rsidRDefault="006B0721" w:rsidP="006B0721">
      <w:pPr>
        <w:pStyle w:val="Hesber"/>
        <w:rPr>
          <w:rtl/>
        </w:rPr>
      </w:pPr>
      <w:r>
        <w:rPr>
          <w:rtl/>
        </w:rPr>
        <w:t>הוגשה ליו"ר הכנסת והסגנים</w:t>
      </w:r>
    </w:p>
    <w:p w14:paraId="689FB186" w14:textId="77777777" w:rsidR="006B0721" w:rsidRDefault="006B0721" w:rsidP="006B0721">
      <w:pPr>
        <w:pStyle w:val="Hesber"/>
        <w:rPr>
          <w:rtl/>
        </w:rPr>
      </w:pPr>
      <w:r>
        <w:rPr>
          <w:rtl/>
        </w:rPr>
        <w:t>והונחה על שולחן הכנסת ביום</w:t>
      </w:r>
    </w:p>
    <w:p w14:paraId="516A3F90" w14:textId="77777777" w:rsidR="006B0721" w:rsidRDefault="006B0721" w:rsidP="006B0721">
      <w:pPr>
        <w:pStyle w:val="Hesber"/>
        <w:rPr>
          <w:rtl/>
        </w:rPr>
      </w:pPr>
      <w:r>
        <w:rPr>
          <w:rtl/>
        </w:rPr>
        <w:t>ג' בחשוון התשע"ז - 23.10.17</w:t>
      </w:r>
    </w:p>
    <w:p w14:paraId="16BDF9D7" w14:textId="77777777" w:rsidR="006B0721" w:rsidRDefault="006B0721" w:rsidP="006B0721">
      <w:pPr>
        <w:pStyle w:val="Hesber"/>
        <w:rPr>
          <w:rtl/>
        </w:rPr>
      </w:pPr>
    </w:p>
    <w:p w14:paraId="1BD30E0A" w14:textId="77777777" w:rsidR="00154DC3" w:rsidRDefault="00154DC3" w:rsidP="00DA7865">
      <w:pPr>
        <w:pStyle w:val="Hesber"/>
        <w:rPr>
          <w:rtl/>
        </w:rPr>
      </w:pPr>
    </w:p>
    <w:p w14:paraId="03B7A7C2" w14:textId="77777777" w:rsidR="00154DC3" w:rsidRDefault="00154DC3" w:rsidP="00DA7865">
      <w:pPr>
        <w:pStyle w:val="Hesber"/>
        <w:rPr>
          <w:rtl/>
        </w:rPr>
      </w:pPr>
    </w:p>
    <w:sectPr w:rsidR="00154DC3"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a"/>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7F6961D6" w14:textId="77777777" w:rsidR="002C3041" w:rsidRDefault="002C304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a"/>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6B0721">
      <w:rPr>
        <w:rStyle w:val="ac"/>
        <w:noProof/>
        <w:rtl/>
      </w:rPr>
      <w:t>2</w:t>
    </w:r>
    <w:r>
      <w:rPr>
        <w:rStyle w:val="ac"/>
        <w:rtl/>
      </w:rPr>
      <w:fldChar w:fldCharType="end"/>
    </w:r>
  </w:p>
  <w:p w14:paraId="7F6961D8" w14:textId="77777777" w:rsidR="002C3041" w:rsidRDefault="002C304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133B6E2A" w14:textId="77777777" w:rsidR="00D81D32" w:rsidRDefault="00D81D32" w:rsidP="00D81D32">
      <w:pPr>
        <w:pStyle w:val="a5"/>
      </w:pPr>
      <w:r>
        <w:rPr>
          <w:rStyle w:val="a7"/>
        </w:rPr>
        <w:footnoteRef/>
      </w:r>
      <w:r>
        <w:rPr>
          <w:rtl/>
        </w:rPr>
        <w:t xml:space="preserve"> </w:t>
      </w:r>
      <w:r>
        <w:rPr>
          <w:rFonts w:hint="cs"/>
          <w:rtl/>
        </w:rPr>
        <w:t xml:space="preserve">ס"ח התשמ"ו, עמ' 107. </w:t>
      </w:r>
    </w:p>
  </w:footnote>
  <w:footnote w:id="3">
    <w:p w14:paraId="610A85CA" w14:textId="77777777" w:rsidR="00987E30" w:rsidRDefault="00987E30" w:rsidP="00543D57">
      <w:pPr>
        <w:pStyle w:val="a5"/>
      </w:pPr>
      <w:r>
        <w:rPr>
          <w:rStyle w:val="a7"/>
        </w:rPr>
        <w:footnoteRef/>
      </w:r>
      <w:r>
        <w:rPr>
          <w:rtl/>
        </w:rPr>
        <w:t xml:space="preserve"> ס</w:t>
      </w:r>
      <w:r>
        <w:rPr>
          <w:rFonts w:hint="cs"/>
          <w:rtl/>
        </w:rPr>
        <w:t xml:space="preserve">"ח </w:t>
      </w:r>
      <w:r>
        <w:rPr>
          <w:rtl/>
        </w:rPr>
        <w:t xml:space="preserve">התשע"ב, </w:t>
      </w:r>
      <w:r>
        <w:rPr>
          <w:rFonts w:hint="cs"/>
          <w:rtl/>
        </w:rPr>
        <w:t xml:space="preserve">עמ' 218. </w:t>
      </w:r>
    </w:p>
  </w:footnote>
  <w:footnote w:id="4">
    <w:p w14:paraId="6FF5C229" w14:textId="77777777" w:rsidR="00987E30" w:rsidRDefault="00987E30" w:rsidP="00543D57">
      <w:pPr>
        <w:pStyle w:val="a5"/>
      </w:pPr>
      <w:r>
        <w:rPr>
          <w:rStyle w:val="a7"/>
        </w:rPr>
        <w:footnoteRef/>
      </w:r>
      <w:r>
        <w:rPr>
          <w:rtl/>
        </w:rPr>
        <w:t xml:space="preserve"> ס"ח התש"ס, עמ' 190</w:t>
      </w:r>
      <w:r>
        <w:rPr>
          <w:rFonts w:hint="cs"/>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FC59D3"/>
    <w:multiLevelType w:val="hybridMultilevel"/>
    <w:tmpl w:val="8CA65A56"/>
    <w:lvl w:ilvl="0" w:tplc="7074726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24651C"/>
    <w:multiLevelType w:val="hybridMultilevel"/>
    <w:tmpl w:val="76A4051C"/>
    <w:lvl w:ilvl="0" w:tplc="F342C5D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4"/>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3618"/>
    <w:rsid w:val="000A542E"/>
    <w:rsid w:val="00102B6B"/>
    <w:rsid w:val="001052D4"/>
    <w:rsid w:val="0010644B"/>
    <w:rsid w:val="001207F8"/>
    <w:rsid w:val="00121924"/>
    <w:rsid w:val="001279A8"/>
    <w:rsid w:val="0014195F"/>
    <w:rsid w:val="00152609"/>
    <w:rsid w:val="00153E1B"/>
    <w:rsid w:val="00154DC3"/>
    <w:rsid w:val="001725ED"/>
    <w:rsid w:val="001A0623"/>
    <w:rsid w:val="001C23B0"/>
    <w:rsid w:val="001D7AAF"/>
    <w:rsid w:val="00203A7F"/>
    <w:rsid w:val="00212EBB"/>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3497C"/>
    <w:rsid w:val="00360035"/>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4F473F"/>
    <w:rsid w:val="00553C9D"/>
    <w:rsid w:val="00562A66"/>
    <w:rsid w:val="005655D5"/>
    <w:rsid w:val="00572CF9"/>
    <w:rsid w:val="005B064E"/>
    <w:rsid w:val="005D51AE"/>
    <w:rsid w:val="005E5E92"/>
    <w:rsid w:val="0062674B"/>
    <w:rsid w:val="00630571"/>
    <w:rsid w:val="006363B2"/>
    <w:rsid w:val="00644940"/>
    <w:rsid w:val="00666590"/>
    <w:rsid w:val="006818A9"/>
    <w:rsid w:val="006A17D8"/>
    <w:rsid w:val="006A2D81"/>
    <w:rsid w:val="006B0721"/>
    <w:rsid w:val="006C1D0D"/>
    <w:rsid w:val="006F212B"/>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808B8"/>
    <w:rsid w:val="00892135"/>
    <w:rsid w:val="00895449"/>
    <w:rsid w:val="00897879"/>
    <w:rsid w:val="008A6870"/>
    <w:rsid w:val="008C1744"/>
    <w:rsid w:val="008C2DDC"/>
    <w:rsid w:val="008C7516"/>
    <w:rsid w:val="008E6EC7"/>
    <w:rsid w:val="008F0D63"/>
    <w:rsid w:val="008F1308"/>
    <w:rsid w:val="008F2C35"/>
    <w:rsid w:val="008F6665"/>
    <w:rsid w:val="00904591"/>
    <w:rsid w:val="00905E5F"/>
    <w:rsid w:val="0091204F"/>
    <w:rsid w:val="009203DB"/>
    <w:rsid w:val="00923CD4"/>
    <w:rsid w:val="00930EFE"/>
    <w:rsid w:val="0093579D"/>
    <w:rsid w:val="00943386"/>
    <w:rsid w:val="009456B6"/>
    <w:rsid w:val="00957589"/>
    <w:rsid w:val="00966D06"/>
    <w:rsid w:val="00982412"/>
    <w:rsid w:val="00983A8D"/>
    <w:rsid w:val="00987E30"/>
    <w:rsid w:val="009A0DB8"/>
    <w:rsid w:val="009A7257"/>
    <w:rsid w:val="009C7679"/>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7774"/>
    <w:rsid w:val="00D63620"/>
    <w:rsid w:val="00D81D32"/>
    <w:rsid w:val="00D8410D"/>
    <w:rsid w:val="00D867D7"/>
    <w:rsid w:val="00DA7865"/>
    <w:rsid w:val="00DB7060"/>
    <w:rsid w:val="00DE3153"/>
    <w:rsid w:val="00E06736"/>
    <w:rsid w:val="00E13C27"/>
    <w:rsid w:val="00E33BBD"/>
    <w:rsid w:val="00E374F2"/>
    <w:rsid w:val="00E45103"/>
    <w:rsid w:val="00E50720"/>
    <w:rsid w:val="00E55A60"/>
    <w:rsid w:val="00E62778"/>
    <w:rsid w:val="00E63D38"/>
    <w:rsid w:val="00E665B9"/>
    <w:rsid w:val="00EA01E6"/>
    <w:rsid w:val="00EA3DE8"/>
    <w:rsid w:val="00EA758F"/>
    <w:rsid w:val="00ED40E5"/>
    <w:rsid w:val="00ED4A6F"/>
    <w:rsid w:val="00EF3A3A"/>
    <w:rsid w:val="00F628D6"/>
    <w:rsid w:val="00F67051"/>
    <w:rsid w:val="00F86A1E"/>
    <w:rsid w:val="00F9748D"/>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7CC2A52-7C30-40EF-A06A-B08F5CE6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7D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6A17D8"/>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6A17D8"/>
    <w:rPr>
      <w:sz w:val="36"/>
      <w:szCs w:val="52"/>
    </w:rPr>
  </w:style>
  <w:style w:type="paragraph" w:customStyle="1" w:styleId="Cover3-Haknesset">
    <w:name w:val="Cover 3-Haknesset"/>
    <w:basedOn w:val="Cover1-Reshumot"/>
    <w:rsid w:val="006A17D8"/>
    <w:rPr>
      <w:b/>
      <w:bCs/>
      <w:spacing w:val="60"/>
    </w:rPr>
  </w:style>
  <w:style w:type="paragraph" w:customStyle="1" w:styleId="Cover4-Date">
    <w:name w:val="Cover 4-Date"/>
    <w:basedOn w:val="a"/>
    <w:rsid w:val="006A17D8"/>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6A17D8"/>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6A17D8"/>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6A17D8"/>
    <w:pPr>
      <w:spacing w:before="120" w:after="120"/>
    </w:pPr>
    <w:rPr>
      <w:color w:val="FF0000"/>
      <w:w w:val="80"/>
    </w:rPr>
  </w:style>
  <w:style w:type="paragraph" w:styleId="a3">
    <w:name w:val="endnote text"/>
    <w:basedOn w:val="a"/>
    <w:link w:val="a4"/>
    <w:semiHidden/>
    <w:rsid w:val="006A17D8"/>
    <w:pPr>
      <w:ind w:left="227" w:hanging="227"/>
    </w:pPr>
    <w:rPr>
      <w:sz w:val="14"/>
      <w:szCs w:val="22"/>
    </w:rPr>
  </w:style>
  <w:style w:type="paragraph" w:customStyle="1" w:styleId="TableText">
    <w:name w:val="Table Text"/>
    <w:basedOn w:val="a"/>
    <w:rsid w:val="006A17D8"/>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6A17D8"/>
  </w:style>
  <w:style w:type="paragraph" w:customStyle="1" w:styleId="TableBlock">
    <w:name w:val="Table Block"/>
    <w:basedOn w:val="TableText"/>
    <w:rsid w:val="006A17D8"/>
    <w:pPr>
      <w:ind w:right="0"/>
      <w:jc w:val="both"/>
    </w:pPr>
  </w:style>
  <w:style w:type="paragraph" w:customStyle="1" w:styleId="TableHead">
    <w:name w:val="Table Head"/>
    <w:basedOn w:val="TableText"/>
    <w:rsid w:val="006A17D8"/>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6A17D8"/>
  </w:style>
  <w:style w:type="paragraph" w:customStyle="1" w:styleId="Hesber">
    <w:name w:val="Hesber"/>
    <w:basedOn w:val="a"/>
    <w:rsid w:val="006A17D8"/>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
    <w:link w:val="a6"/>
    <w:autoRedefine/>
    <w:rsid w:val="006A17D8"/>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7">
    <w:name w:val="footnote reference"/>
    <w:aliases w:val="Footnote Reference"/>
    <w:basedOn w:val="a0"/>
    <w:rsid w:val="006A17D8"/>
    <w:rPr>
      <w:vertAlign w:val="superscript"/>
    </w:rPr>
  </w:style>
  <w:style w:type="paragraph" w:customStyle="1" w:styleId="HesberHeading">
    <w:name w:val="Hesber Heading"/>
    <w:basedOn w:val="Hesber"/>
    <w:rsid w:val="006A17D8"/>
    <w:pPr>
      <w:tabs>
        <w:tab w:val="left" w:pos="624"/>
        <w:tab w:val="left" w:pos="1247"/>
      </w:tabs>
      <w:ind w:firstLine="0"/>
    </w:pPr>
    <w:rPr>
      <w:b/>
      <w:bCs/>
    </w:rPr>
  </w:style>
  <w:style w:type="paragraph" w:customStyle="1" w:styleId="HesberWriters">
    <w:name w:val="Hesber Writers"/>
    <w:basedOn w:val="Hesber"/>
    <w:rsid w:val="006A17D8"/>
    <w:pPr>
      <w:spacing w:before="120" w:after="6000"/>
      <w:ind w:left="1418" w:firstLine="0"/>
      <w:jc w:val="right"/>
    </w:pPr>
    <w:rPr>
      <w:b/>
      <w:bCs/>
    </w:rPr>
  </w:style>
  <w:style w:type="paragraph" w:customStyle="1" w:styleId="Hesber1st">
    <w:name w:val="Hesber 1st"/>
    <w:basedOn w:val="Hesber"/>
    <w:rsid w:val="006A17D8"/>
    <w:pPr>
      <w:tabs>
        <w:tab w:val="left" w:pos="680"/>
        <w:tab w:val="left" w:pos="1020"/>
      </w:tabs>
      <w:ind w:firstLine="0"/>
    </w:pPr>
  </w:style>
  <w:style w:type="character" w:styleId="a8">
    <w:name w:val="endnote reference"/>
    <w:basedOn w:val="a0"/>
    <w:semiHidden/>
    <w:rsid w:val="006A17D8"/>
    <w:rPr>
      <w:vertAlign w:val="superscript"/>
    </w:rPr>
  </w:style>
  <w:style w:type="paragraph" w:customStyle="1" w:styleId="TableBlockOutdent">
    <w:name w:val="Table BlockOutdent"/>
    <w:basedOn w:val="TableBlock"/>
    <w:rsid w:val="006A17D8"/>
    <w:pPr>
      <w:ind w:left="624" w:hanging="624"/>
    </w:pPr>
  </w:style>
  <w:style w:type="paragraph" w:styleId="a9">
    <w:name w:val="header"/>
    <w:basedOn w:val="a"/>
    <w:rsid w:val="006A17D8"/>
    <w:pPr>
      <w:tabs>
        <w:tab w:val="center" w:pos="4153"/>
        <w:tab w:val="right" w:pos="8306"/>
      </w:tabs>
    </w:pPr>
  </w:style>
  <w:style w:type="paragraph" w:styleId="aa">
    <w:name w:val="footer"/>
    <w:basedOn w:val="a"/>
    <w:rsid w:val="006A17D8"/>
    <w:pPr>
      <w:tabs>
        <w:tab w:val="center" w:pos="4153"/>
        <w:tab w:val="right" w:pos="8306"/>
      </w:tabs>
    </w:pPr>
  </w:style>
  <w:style w:type="paragraph" w:customStyle="1" w:styleId="HeadDivreiHesber">
    <w:name w:val="Head DivreiHesber"/>
    <w:basedOn w:val="a"/>
    <w:rsid w:val="006A17D8"/>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6A17D8"/>
    <w:pPr>
      <w:snapToGrid w:val="0"/>
      <w:spacing w:before="0" w:line="360" w:lineRule="auto"/>
      <w:jc w:val="left"/>
    </w:pPr>
    <w:rPr>
      <w:rFonts w:ascii="Arial" w:eastAsia="Arial Unicode MS" w:hAnsi="Arial" w:cs="David"/>
      <w:snapToGrid w:val="0"/>
      <w:spacing w:val="0"/>
      <w:sz w:val="20"/>
      <w:szCs w:val="26"/>
    </w:rPr>
  </w:style>
  <w:style w:type="paragraph" w:styleId="ab">
    <w:name w:val="Title"/>
    <w:basedOn w:val="a"/>
    <w:qFormat/>
    <w:rsid w:val="00943386"/>
    <w:pPr>
      <w:jc w:val="center"/>
    </w:pPr>
    <w:rPr>
      <w:rFonts w:cs="David"/>
      <w:b/>
      <w:bCs/>
      <w:sz w:val="28"/>
      <w:szCs w:val="28"/>
      <w:u w:val="single"/>
    </w:rPr>
  </w:style>
  <w:style w:type="character" w:styleId="ac">
    <w:name w:val="page number"/>
    <w:basedOn w:val="a0"/>
    <w:rsid w:val="006A17D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d">
    <w:name w:val="Balloon Text"/>
    <w:basedOn w:val="a"/>
    <w:link w:val="ae"/>
    <w:semiHidden/>
    <w:unhideWhenUsed/>
    <w:rsid w:val="00325C14"/>
    <w:pPr>
      <w:spacing w:before="0" w:line="240" w:lineRule="auto"/>
    </w:pPr>
    <w:rPr>
      <w:rFonts w:ascii="Tahoma" w:hAnsi="Tahoma" w:cs="Tahoma"/>
      <w:sz w:val="16"/>
      <w:szCs w:val="16"/>
    </w:rPr>
  </w:style>
  <w:style w:type="character" w:customStyle="1" w:styleId="ae">
    <w:name w:val="טקסט בלונים תו"/>
    <w:basedOn w:val="a0"/>
    <w:link w:val="ad"/>
    <w:semiHidden/>
    <w:rsid w:val="00325C14"/>
    <w:rPr>
      <w:rFonts w:ascii="Tahoma" w:hAnsi="Tahoma" w:cs="Tahoma"/>
      <w:color w:val="000000"/>
      <w:spacing w:val="1"/>
      <w:sz w:val="16"/>
      <w:szCs w:val="16"/>
      <w:lang w:eastAsia="ja-JP"/>
    </w:rPr>
  </w:style>
  <w:style w:type="character" w:customStyle="1" w:styleId="a6">
    <w:name w:val="טקסט הערת שוליים תו"/>
    <w:link w:val="a5"/>
    <w:rsid w:val="00987E30"/>
    <w:rPr>
      <w:rFonts w:ascii="Arial" w:eastAsia="Arial Unicode MS" w:hAnsi="Arial" w:cs="David"/>
      <w:snapToGrid w:val="0"/>
      <w:color w:val="000000"/>
      <w:sz w:val="14"/>
      <w:lang w:eastAsia="ja-JP"/>
    </w:rPr>
  </w:style>
  <w:style w:type="character" w:customStyle="1" w:styleId="a4">
    <w:name w:val="טקסט הערת סיום תו"/>
    <w:link w:val="a3"/>
    <w:semiHidden/>
    <w:rsid w:val="00987E30"/>
    <w:rPr>
      <w:rFonts w:ascii="Hadasa Roso SL" w:hAnsi="Hadasa Roso SL" w:cs="Hadasa Roso SL"/>
      <w:color w:val="000000"/>
      <w:spacing w:val="1"/>
      <w:sz w:val="14"/>
      <w:szCs w:val="22"/>
      <w:lang w:eastAsia="ja-JP"/>
    </w:rPr>
  </w:style>
  <w:style w:type="paragraph" w:customStyle="1" w:styleId="af">
    <w:name w:val="שער_יום_תאריך_ישיבה"/>
    <w:basedOn w:val="a"/>
    <w:next w:val="a"/>
    <w:rsid w:val="00E50720"/>
    <w:pPr>
      <w:widowControl/>
      <w:autoSpaceDE/>
      <w:autoSpaceDN/>
      <w:adjustRightInd/>
      <w:spacing w:before="0" w:line="360" w:lineRule="auto"/>
      <w:ind w:firstLine="720"/>
      <w:jc w:val="center"/>
      <w:textAlignment w:val="auto"/>
    </w:pPr>
    <w:rPr>
      <w:rFonts w:ascii="Arial" w:eastAsia="Times New Roman" w:hAnsi="Arial" w:cs="Arial"/>
      <w:color w:val="auto"/>
      <w:spacing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4879E9E-E8FD-49BA-BCED-8BC8497ED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EBD044D-DFFF-4529-890D-CAFDBBAB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550</Words>
  <Characters>2755</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13</cp:revision>
  <cp:lastPrinted>2017-10-15T10:56:00Z</cp:lastPrinted>
  <dcterms:created xsi:type="dcterms:W3CDTF">2015-04-20T09:58:00Z</dcterms:created>
  <dcterms:modified xsi:type="dcterms:W3CDTF">2017-10-15T10:57:00Z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2020943</vt:r8>
  </property>
</Properties>
</file>