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2020942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יוזמת:</w:t>
      </w:r>
      <w:r>
        <w:tab/>
      </w:r>
      <w:r>
        <w:rPr>
          <w:b/>
          <w:bCs/>
          <w:rtl/>
        </w:rPr>
        <w:t xml:space="preserve">      חברת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ענת ברקו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פ/4627/20</w:t>
      </w:r>
      <w:bookmarkEnd w:id="6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7F91CC24" w:rsidR="00E13C27" w:rsidRPr="00F67051" w:rsidRDefault="00A443CF" w:rsidP="00E26AEF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בתי המשפט (תיקון – מינוי שופטת במותב הדן בעבירת מין), התשע"ח–2017</w:t>
      </w:r>
      <w:bookmarkEnd w:id="7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2215F1" w14:paraId="42E54689" w14:textId="77777777" w:rsidTr="001A6B8F">
        <w:trPr>
          <w:cantSplit/>
        </w:trPr>
        <w:tc>
          <w:tcPr>
            <w:tcW w:w="1871" w:type="dxa"/>
          </w:tcPr>
          <w:p w14:paraId="45642D49" w14:textId="35767CD9" w:rsidR="002215F1" w:rsidRDefault="002215F1" w:rsidP="005052A3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תיקון סעיף 27</w:t>
            </w:r>
          </w:p>
        </w:tc>
        <w:tc>
          <w:tcPr>
            <w:tcW w:w="624" w:type="dxa"/>
          </w:tcPr>
          <w:p w14:paraId="2F2A30C6" w14:textId="1DA065E1" w:rsidR="002215F1" w:rsidRDefault="002215F1" w:rsidP="005052A3">
            <w:pPr>
              <w:pStyle w:val="TableText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</w:tcPr>
          <w:p w14:paraId="009DDAF3" w14:textId="2D0170E7" w:rsidR="002215F1" w:rsidRDefault="002215F1" w:rsidP="001A6B8F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בחוק בתי המשפט [נוסח משולב], התשמ"ד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>1984</w:t>
            </w:r>
            <w:r w:rsidR="00C73E55">
              <w:rPr>
                <w:rStyle w:val="a5"/>
                <w:rtl/>
              </w:rPr>
              <w:footnoteReference w:id="2"/>
            </w:r>
            <w:r w:rsidR="00C73E55">
              <w:rPr>
                <w:rFonts w:hint="cs"/>
                <w:rtl/>
              </w:rPr>
              <w:t xml:space="preserve"> (להלן </w:t>
            </w:r>
            <w:r w:rsidR="00C73E55">
              <w:rPr>
                <w:rtl/>
              </w:rPr>
              <w:t>–</w:t>
            </w:r>
            <w:r w:rsidR="00C73E55">
              <w:rPr>
                <w:rFonts w:hint="cs"/>
                <w:rtl/>
              </w:rPr>
              <w:t xml:space="preserve"> החוק העיקרי)</w:t>
            </w:r>
            <w:r>
              <w:rPr>
                <w:rFonts w:hint="cs"/>
                <w:rtl/>
              </w:rPr>
              <w:t>, בסעיף 27(א)</w:t>
            </w:r>
            <w:r w:rsidR="002757DF">
              <w:rPr>
                <w:rFonts w:hint="cs"/>
                <w:rtl/>
              </w:rPr>
              <w:t>,</w:t>
            </w:r>
            <w:r w:rsidR="0023192A">
              <w:rPr>
                <w:rFonts w:hint="cs"/>
                <w:rtl/>
              </w:rPr>
              <w:t xml:space="preserve"> בסופו יבוא "ובלבד שבערעור על פסק דין פלילי שעניינו עבירת מין, תמונה שופטת אחת לפחות לשפוט במותב; בחוק זה, "עבירת מין" </w:t>
            </w:r>
            <w:r w:rsidR="0023192A">
              <w:rPr>
                <w:rtl/>
              </w:rPr>
              <w:t>–</w:t>
            </w:r>
            <w:r w:rsidR="0023192A">
              <w:rPr>
                <w:rFonts w:hint="cs"/>
                <w:rtl/>
              </w:rPr>
              <w:t xml:space="preserve"> עבירה לפי סימן ה' בפרק י' לחוק העונשין, התשל"ז</w:t>
            </w:r>
            <w:r w:rsidR="0023192A">
              <w:rPr>
                <w:rFonts w:hint="eastAsia"/>
                <w:rtl/>
              </w:rPr>
              <w:t>–</w:t>
            </w:r>
            <w:r w:rsidR="0023192A">
              <w:rPr>
                <w:rFonts w:hint="cs"/>
                <w:rtl/>
              </w:rPr>
              <w:t>1977</w:t>
            </w:r>
            <w:r w:rsidR="0023192A">
              <w:rPr>
                <w:rStyle w:val="a5"/>
                <w:rtl/>
              </w:rPr>
              <w:footnoteReference w:id="3"/>
            </w:r>
            <w:r w:rsidR="0023192A">
              <w:rPr>
                <w:rFonts w:hint="cs"/>
                <w:rtl/>
              </w:rPr>
              <w:t>".</w:t>
            </w:r>
          </w:p>
        </w:tc>
      </w:tr>
      <w:tr w:rsidR="002215F1" w14:paraId="730B6FCF" w14:textId="77777777" w:rsidTr="001A6B8F">
        <w:trPr>
          <w:cantSplit/>
        </w:trPr>
        <w:tc>
          <w:tcPr>
            <w:tcW w:w="1871" w:type="dxa"/>
          </w:tcPr>
          <w:p w14:paraId="611580B9" w14:textId="5A7AE4AC" w:rsidR="002215F1" w:rsidRDefault="002215F1" w:rsidP="005052A3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תיקון סעיף 38</w:t>
            </w:r>
          </w:p>
        </w:tc>
        <w:tc>
          <w:tcPr>
            <w:tcW w:w="624" w:type="dxa"/>
          </w:tcPr>
          <w:p w14:paraId="10F83238" w14:textId="37A37167" w:rsidR="002215F1" w:rsidRDefault="002215F1" w:rsidP="005052A3">
            <w:pPr>
              <w:pStyle w:val="TableText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3" w:type="dxa"/>
          </w:tcPr>
          <w:p w14:paraId="1CAB4F3C" w14:textId="77AF38A7" w:rsidR="002215F1" w:rsidRDefault="00C73E55" w:rsidP="001A6B8F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בסעי</w:t>
            </w:r>
            <w:r w:rsidR="0023192A">
              <w:rPr>
                <w:rFonts w:hint="cs"/>
                <w:rtl/>
              </w:rPr>
              <w:t>ף 38(א) לחוק העיקרי, בסופו יבוא "ובלבד שמשפט פלילי שעניינו עבירת מין י</w:t>
            </w:r>
            <w:r w:rsidR="00E827D2">
              <w:rPr>
                <w:rFonts w:hint="cs"/>
                <w:rtl/>
              </w:rPr>
              <w:t>ידון ל</w:t>
            </w:r>
            <w:r w:rsidR="0023192A">
              <w:rPr>
                <w:rFonts w:hint="cs"/>
                <w:rtl/>
              </w:rPr>
              <w:t>פני שופטת, ואם מונה מותב תמונה שופטת אחת לפחות לשפוט במותב."</w:t>
            </w:r>
          </w:p>
        </w:tc>
      </w:tr>
      <w:tr w:rsidR="002215F1" w14:paraId="605AFD36" w14:textId="77777777" w:rsidTr="001A6B8F">
        <w:trPr>
          <w:cantSplit/>
        </w:trPr>
        <w:tc>
          <w:tcPr>
            <w:tcW w:w="1871" w:type="dxa"/>
          </w:tcPr>
          <w:p w14:paraId="49F2DC12" w14:textId="426C78F9" w:rsidR="002215F1" w:rsidRDefault="002215F1" w:rsidP="005052A3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תיקון סעיף 48</w:t>
            </w:r>
          </w:p>
        </w:tc>
        <w:tc>
          <w:tcPr>
            <w:tcW w:w="624" w:type="dxa"/>
          </w:tcPr>
          <w:p w14:paraId="04F1687F" w14:textId="02F0F24B" w:rsidR="002215F1" w:rsidRDefault="002215F1" w:rsidP="005052A3">
            <w:pPr>
              <w:pStyle w:val="TableText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143" w:type="dxa"/>
          </w:tcPr>
          <w:p w14:paraId="3C428E54" w14:textId="4D8B84F7" w:rsidR="002215F1" w:rsidRDefault="007A484B" w:rsidP="001A6B8F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בסעי</w:t>
            </w:r>
            <w:r w:rsidR="0023192A">
              <w:rPr>
                <w:rFonts w:hint="cs"/>
                <w:rtl/>
              </w:rPr>
              <w:t>ף 48(א) לחוק העיקרי, בסופו יבוא "ובלבד שמשפט פלילי שעניינו עבירת מין י</w:t>
            </w:r>
            <w:r w:rsidR="00E827D2">
              <w:rPr>
                <w:rFonts w:hint="cs"/>
                <w:rtl/>
              </w:rPr>
              <w:t>ידון ל</w:t>
            </w:r>
            <w:r w:rsidR="00D130DB">
              <w:rPr>
                <w:rFonts w:hint="cs"/>
                <w:rtl/>
              </w:rPr>
              <w:t>פני שופטת, ואם מונה מותב</w:t>
            </w:r>
            <w:r w:rsidR="0023192A">
              <w:rPr>
                <w:rFonts w:hint="cs"/>
                <w:rtl/>
              </w:rPr>
              <w:t xml:space="preserve"> תמונה שופטת אחת לפחות לשפוט במותב."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36FA9A06" w14:textId="035997DA" w:rsidR="005052A3" w:rsidRPr="00AF29CC" w:rsidRDefault="005052A3" w:rsidP="00D130DB">
      <w:pPr>
        <w:pStyle w:val="Hesber"/>
        <w:rPr>
          <w:rtl/>
        </w:rPr>
      </w:pPr>
      <w:r w:rsidRPr="00AF29CC">
        <w:rPr>
          <w:rFonts w:hint="cs"/>
          <w:rtl/>
        </w:rPr>
        <w:t>מתלוננות בעבירות מין מוצאות את עצמן</w:t>
      </w:r>
      <w:r w:rsidR="00045951">
        <w:rPr>
          <w:rFonts w:hint="cs"/>
          <w:rtl/>
        </w:rPr>
        <w:t>,</w:t>
      </w:r>
      <w:r w:rsidRPr="00AF29CC">
        <w:rPr>
          <w:rFonts w:hint="cs"/>
          <w:rtl/>
        </w:rPr>
        <w:t xml:space="preserve"> לא אחת</w:t>
      </w:r>
      <w:r w:rsidR="00045951">
        <w:rPr>
          <w:rFonts w:hint="cs"/>
          <w:rtl/>
        </w:rPr>
        <w:t>,</w:t>
      </w:r>
      <w:r w:rsidRPr="00AF29CC">
        <w:rPr>
          <w:rFonts w:hint="cs"/>
          <w:rtl/>
        </w:rPr>
        <w:t xml:space="preserve"> נפגעות בהליך השיפוטי שנועד לדון בתלונתן</w:t>
      </w:r>
      <w:r w:rsidR="00045951">
        <w:rPr>
          <w:rFonts w:hint="cs"/>
          <w:rtl/>
        </w:rPr>
        <w:t>.</w:t>
      </w:r>
      <w:r w:rsidRPr="00AF29CC">
        <w:rPr>
          <w:rFonts w:hint="cs"/>
          <w:rtl/>
        </w:rPr>
        <w:t xml:space="preserve"> </w:t>
      </w:r>
      <w:r w:rsidR="00045951">
        <w:rPr>
          <w:rFonts w:hint="cs"/>
          <w:rtl/>
        </w:rPr>
        <w:t>ההליך שנועד לעשות</w:t>
      </w:r>
      <w:r w:rsidRPr="00AF29CC">
        <w:rPr>
          <w:rFonts w:hint="cs"/>
          <w:rtl/>
        </w:rPr>
        <w:t xml:space="preserve"> צדק עמן</w:t>
      </w:r>
      <w:r w:rsidR="00045951">
        <w:rPr>
          <w:rFonts w:hint="cs"/>
          <w:rtl/>
        </w:rPr>
        <w:t>, הופך לעתים</w:t>
      </w:r>
      <w:r w:rsidRPr="00AF29CC">
        <w:rPr>
          <w:rFonts w:hint="cs"/>
          <w:rtl/>
        </w:rPr>
        <w:t xml:space="preserve"> להליך קשה</w:t>
      </w:r>
      <w:r w:rsidR="00045951">
        <w:rPr>
          <w:rFonts w:hint="cs"/>
          <w:rtl/>
        </w:rPr>
        <w:t xml:space="preserve"> מנשוא</w:t>
      </w:r>
      <w:r w:rsidRPr="00AF29CC">
        <w:rPr>
          <w:rFonts w:hint="cs"/>
          <w:rtl/>
        </w:rPr>
        <w:t xml:space="preserve"> עבורן. </w:t>
      </w:r>
      <w:r w:rsidR="00045951">
        <w:rPr>
          <w:rFonts w:hint="cs"/>
          <w:rtl/>
        </w:rPr>
        <w:t>לכן,</w:t>
      </w:r>
      <w:r w:rsidRPr="00AF29CC">
        <w:rPr>
          <w:rFonts w:hint="cs"/>
          <w:rtl/>
        </w:rPr>
        <w:t xml:space="preserve"> יש שבוחרות שלא להתלונן ו</w:t>
      </w:r>
      <w:r w:rsidR="00045951">
        <w:rPr>
          <w:rFonts w:hint="cs"/>
          <w:rtl/>
        </w:rPr>
        <w:t xml:space="preserve">לא </w:t>
      </w:r>
      <w:r w:rsidRPr="00AF29CC">
        <w:rPr>
          <w:rFonts w:hint="cs"/>
          <w:rtl/>
        </w:rPr>
        <w:t xml:space="preserve">לעבור את ההליך שמטבעו אינו פשוט, קל וחומר בתחום </w:t>
      </w:r>
      <w:r w:rsidR="00045951">
        <w:rPr>
          <w:rFonts w:hint="cs"/>
          <w:rtl/>
        </w:rPr>
        <w:t>עבירות המין</w:t>
      </w:r>
      <w:r w:rsidRPr="00AF29CC">
        <w:rPr>
          <w:rFonts w:hint="cs"/>
          <w:rtl/>
        </w:rPr>
        <w:t xml:space="preserve">. רבות מהן הצביעו על ההליך החקירתי והשיפוטי </w:t>
      </w:r>
      <w:r w:rsidR="00045951">
        <w:rPr>
          <w:rFonts w:hint="cs"/>
          <w:rtl/>
        </w:rPr>
        <w:t>כהליך ש</w:t>
      </w:r>
      <w:r w:rsidRPr="00AF29CC">
        <w:rPr>
          <w:rFonts w:hint="cs"/>
          <w:rtl/>
        </w:rPr>
        <w:t xml:space="preserve">הוסיף סבל על סבלן. </w:t>
      </w:r>
      <w:r w:rsidR="00045951">
        <w:rPr>
          <w:rFonts w:hint="cs"/>
          <w:rtl/>
        </w:rPr>
        <w:t>מכאן</w:t>
      </w:r>
      <w:r w:rsidRPr="00AF29CC">
        <w:rPr>
          <w:rFonts w:hint="cs"/>
          <w:rtl/>
        </w:rPr>
        <w:t xml:space="preserve"> </w:t>
      </w:r>
      <w:r w:rsidR="00D130DB">
        <w:rPr>
          <w:rFonts w:hint="cs"/>
          <w:rtl/>
        </w:rPr>
        <w:t xml:space="preserve">שיש להקל עם נשים וגברים, נפגעי עבירות </w:t>
      </w:r>
      <w:r w:rsidR="00045951">
        <w:rPr>
          <w:rFonts w:hint="cs"/>
          <w:rtl/>
        </w:rPr>
        <w:t>מין</w:t>
      </w:r>
      <w:r w:rsidRPr="00AF29CC">
        <w:rPr>
          <w:rFonts w:hint="cs"/>
          <w:rtl/>
        </w:rPr>
        <w:t xml:space="preserve">, לבל יצאו </w:t>
      </w:r>
      <w:r w:rsidR="00045951">
        <w:rPr>
          <w:rFonts w:hint="cs"/>
          <w:rtl/>
        </w:rPr>
        <w:t>חוטאים נשכרים רק מפני שהנפגעים אינם חפצים</w:t>
      </w:r>
      <w:r w:rsidRPr="00AF29CC">
        <w:rPr>
          <w:rFonts w:hint="cs"/>
          <w:rtl/>
        </w:rPr>
        <w:t xml:space="preserve"> בהליך שיוסיף פגיעה על הפגיעה שחוו. </w:t>
      </w:r>
    </w:p>
    <w:p w14:paraId="7F6961CB" w14:textId="16095AD9" w:rsidR="00E13C27" w:rsidRDefault="005052A3" w:rsidP="00D130DB">
      <w:pPr>
        <w:pStyle w:val="Hesber"/>
        <w:rPr>
          <w:rtl/>
        </w:rPr>
      </w:pPr>
      <w:r w:rsidRPr="00AF29CC">
        <w:rPr>
          <w:rFonts w:hint="cs"/>
          <w:rtl/>
        </w:rPr>
        <w:t>מוצע כי בכל מותב שידון ב</w:t>
      </w:r>
      <w:r w:rsidR="00A6663A">
        <w:rPr>
          <w:rFonts w:hint="cs"/>
          <w:rtl/>
        </w:rPr>
        <w:t>עניין עבירת מין</w:t>
      </w:r>
      <w:r w:rsidR="00045951">
        <w:rPr>
          <w:rFonts w:hint="cs"/>
          <w:rtl/>
        </w:rPr>
        <w:t xml:space="preserve"> </w:t>
      </w:r>
      <w:r w:rsidRPr="00AF29CC">
        <w:rPr>
          <w:rFonts w:hint="cs"/>
          <w:rtl/>
        </w:rPr>
        <w:t>ת</w:t>
      </w:r>
      <w:r w:rsidR="00045951">
        <w:rPr>
          <w:rFonts w:hint="cs"/>
          <w:rtl/>
        </w:rPr>
        <w:t xml:space="preserve">מונה </w:t>
      </w:r>
      <w:r w:rsidRPr="00AF29CC">
        <w:rPr>
          <w:rFonts w:hint="cs"/>
          <w:rtl/>
        </w:rPr>
        <w:t>שופטת אחת</w:t>
      </w:r>
      <w:r w:rsidR="00D130DB" w:rsidRPr="00D130DB">
        <w:rPr>
          <w:rFonts w:hint="cs"/>
          <w:rtl/>
        </w:rPr>
        <w:t xml:space="preserve"> </w:t>
      </w:r>
      <w:r w:rsidR="00D130DB" w:rsidRPr="00AF29CC">
        <w:rPr>
          <w:rFonts w:hint="cs"/>
          <w:rtl/>
        </w:rPr>
        <w:t>לפחות</w:t>
      </w:r>
      <w:r w:rsidR="00A6663A">
        <w:rPr>
          <w:rFonts w:hint="cs"/>
          <w:rtl/>
        </w:rPr>
        <w:t xml:space="preserve">, וכי כאשר מדובר בהליך המתקיים בפני דן יחיד, </w:t>
      </w:r>
      <w:r w:rsidR="00D130DB">
        <w:rPr>
          <w:rFonts w:hint="cs"/>
          <w:rtl/>
        </w:rPr>
        <w:t>תמונה</w:t>
      </w:r>
      <w:r w:rsidR="00A6663A">
        <w:rPr>
          <w:rFonts w:hint="cs"/>
          <w:rtl/>
        </w:rPr>
        <w:t xml:space="preserve"> שופטת</w:t>
      </w:r>
      <w:r w:rsidR="00D130DB">
        <w:rPr>
          <w:rFonts w:hint="cs"/>
          <w:rtl/>
        </w:rPr>
        <w:t xml:space="preserve"> לדון בעניין</w:t>
      </w:r>
      <w:r w:rsidRPr="00AF29CC">
        <w:rPr>
          <w:rFonts w:hint="cs"/>
          <w:rtl/>
        </w:rPr>
        <w:t>. יודגש כי בכל הרשויות המטפלות בנפגע</w:t>
      </w:r>
      <w:r w:rsidR="00045951">
        <w:rPr>
          <w:rFonts w:hint="cs"/>
          <w:rtl/>
        </w:rPr>
        <w:t>י</w:t>
      </w:r>
      <w:r w:rsidRPr="00AF29CC">
        <w:rPr>
          <w:rFonts w:hint="cs"/>
          <w:rtl/>
        </w:rPr>
        <w:t xml:space="preserve"> תקיפה </w:t>
      </w:r>
      <w:r w:rsidR="00D130DB">
        <w:rPr>
          <w:rFonts w:hint="cs"/>
          <w:rtl/>
        </w:rPr>
        <w:t>מינית נעשו צעדים שמטרתם</w:t>
      </w:r>
      <w:r w:rsidR="00045951">
        <w:rPr>
          <w:rFonts w:hint="cs"/>
          <w:rtl/>
        </w:rPr>
        <w:t xml:space="preserve"> להקל על מצוקתם</w:t>
      </w:r>
      <w:r w:rsidRPr="00AF29CC">
        <w:rPr>
          <w:rFonts w:hint="cs"/>
          <w:rtl/>
        </w:rPr>
        <w:t xml:space="preserve">. גם במערכת השיפוטית </w:t>
      </w:r>
      <w:r w:rsidR="00045951">
        <w:rPr>
          <w:rFonts w:hint="cs"/>
          <w:rtl/>
        </w:rPr>
        <w:t>יש</w:t>
      </w:r>
      <w:r w:rsidRPr="00AF29CC">
        <w:rPr>
          <w:rFonts w:hint="cs"/>
          <w:rtl/>
        </w:rPr>
        <w:t xml:space="preserve"> לנקוט </w:t>
      </w:r>
      <w:r w:rsidR="00045951">
        <w:rPr>
          <w:rFonts w:hint="cs"/>
          <w:rtl/>
        </w:rPr>
        <w:t>ב</w:t>
      </w:r>
      <w:r w:rsidRPr="00AF29CC">
        <w:rPr>
          <w:rFonts w:hint="cs"/>
          <w:rtl/>
        </w:rPr>
        <w:t xml:space="preserve">גישה כזו ולאפשר </w:t>
      </w:r>
      <w:r w:rsidR="00045951">
        <w:rPr>
          <w:rFonts w:hint="cs"/>
          <w:rtl/>
        </w:rPr>
        <w:t>למתלוננים</w:t>
      </w:r>
      <w:r w:rsidRPr="00AF29CC">
        <w:rPr>
          <w:rFonts w:hint="cs"/>
          <w:rtl/>
        </w:rPr>
        <w:t xml:space="preserve"> להישפ</w:t>
      </w:r>
      <w:r w:rsidRPr="00AF29CC">
        <w:rPr>
          <w:rFonts w:hint="eastAsia"/>
          <w:rtl/>
        </w:rPr>
        <w:t>ט</w:t>
      </w:r>
      <w:r w:rsidR="00D130DB">
        <w:rPr>
          <w:rFonts w:hint="cs"/>
          <w:rtl/>
        </w:rPr>
        <w:t xml:space="preserve"> לפני אישה או ל</w:t>
      </w:r>
      <w:r w:rsidRPr="00AF29CC">
        <w:rPr>
          <w:rFonts w:hint="cs"/>
          <w:rtl/>
        </w:rPr>
        <w:t xml:space="preserve">פני הרכב </w:t>
      </w:r>
      <w:r w:rsidR="00045951">
        <w:rPr>
          <w:rFonts w:hint="cs"/>
          <w:rtl/>
        </w:rPr>
        <w:t>הכולל</w:t>
      </w:r>
      <w:r w:rsidRPr="00AF29CC">
        <w:rPr>
          <w:rFonts w:hint="cs"/>
          <w:rtl/>
        </w:rPr>
        <w:t xml:space="preserve"> אישה.</w:t>
      </w:r>
      <w:r>
        <w:rPr>
          <w:rFonts w:hint="cs"/>
          <w:rtl/>
        </w:rPr>
        <w:t xml:space="preserve"> </w:t>
      </w:r>
    </w:p>
    <w:p w14:paraId="14D448B3" w14:textId="5A8FC33E" w:rsidR="00151701" w:rsidRPr="00D73212" w:rsidRDefault="00151701" w:rsidP="00151701">
      <w:pPr>
        <w:pStyle w:val="Hesber"/>
        <w:spacing w:line="240" w:lineRule="auto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2EF5BF5D" w14:textId="77777777" w:rsidR="00151701" w:rsidRPr="00D73212" w:rsidRDefault="00151701" w:rsidP="00151701">
      <w:pPr>
        <w:pStyle w:val="Hesber"/>
        <w:spacing w:line="240" w:lineRule="auto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24BB1F70" w14:textId="77777777" w:rsidR="00151701" w:rsidRPr="00D73212" w:rsidRDefault="00151701" w:rsidP="00151701">
      <w:pPr>
        <w:pStyle w:val="Hesber"/>
        <w:spacing w:line="240" w:lineRule="auto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4B1B9D0F" w14:textId="200C47C9" w:rsidR="00151701" w:rsidRDefault="00151701" w:rsidP="00151701">
      <w:pPr>
        <w:pStyle w:val="Hesber"/>
        <w:spacing w:line="240" w:lineRule="auto"/>
        <w:rPr>
          <w:rtl/>
        </w:rPr>
      </w:pPr>
      <w:r>
        <w:rPr>
          <w:rFonts w:hint="cs"/>
          <w:color w:val="auto"/>
          <w:rtl/>
          <w:lang w:eastAsia="en-US"/>
        </w:rPr>
        <w:t>ג' בחשוון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התשע</w:t>
      </w:r>
      <w:r w:rsidRPr="00D73212">
        <w:rPr>
          <w:color w:val="auto"/>
          <w:rtl/>
          <w:lang w:eastAsia="en-US"/>
        </w:rPr>
        <w:t>"</w:t>
      </w:r>
      <w:r>
        <w:rPr>
          <w:rFonts w:hint="cs"/>
          <w:color w:val="auto"/>
          <w:rtl/>
          <w:lang w:eastAsia="en-US"/>
        </w:rPr>
        <w:t>ז</w:t>
      </w:r>
      <w:r w:rsidRPr="00D73212">
        <w:rPr>
          <w:color w:val="auto"/>
          <w:rtl/>
          <w:lang w:eastAsia="en-US"/>
        </w:rPr>
        <w:t xml:space="preserve"> – </w:t>
      </w:r>
      <w:r>
        <w:rPr>
          <w:rFonts w:hint="cs"/>
          <w:color w:val="auto"/>
          <w:rtl/>
          <w:lang w:eastAsia="en-US"/>
        </w:rPr>
        <w:t>23.10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>17</w:t>
      </w:r>
      <w:bookmarkStart w:id="8" w:name="_GoBack"/>
      <w:bookmarkEnd w:id="8"/>
    </w:p>
    <w:sectPr w:rsidR="00151701" w:rsidSect="00151701">
      <w:footerReference w:type="even" r:id="rId11"/>
      <w:footerReference w:type="default" r:id="rId12"/>
      <w:pgSz w:w="11907" w:h="16840" w:code="9"/>
      <w:pgMar w:top="567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88A69" w14:textId="77777777" w:rsidR="00A942C1" w:rsidRDefault="00A942C1">
      <w:r>
        <w:separator/>
      </w:r>
    </w:p>
  </w:endnote>
  <w:endnote w:type="continuationSeparator" w:id="0">
    <w:p w14:paraId="318F26FB" w14:textId="77777777" w:rsidR="00A942C1" w:rsidRDefault="00A942C1">
      <w:r>
        <w:continuationSeparator/>
      </w:r>
    </w:p>
  </w:endnote>
  <w:endnote w:type="continuationNotice" w:id="1">
    <w:p w14:paraId="6BE48FD5" w14:textId="77777777" w:rsidR="00A942C1" w:rsidRDefault="00A942C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151701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7B9F2" w14:textId="77777777" w:rsidR="00A942C1" w:rsidRDefault="00A942C1">
      <w:r>
        <w:separator/>
      </w:r>
    </w:p>
  </w:footnote>
  <w:footnote w:type="continuationSeparator" w:id="0">
    <w:p w14:paraId="3DB92342" w14:textId="77777777" w:rsidR="00A942C1" w:rsidRDefault="00A942C1">
      <w:r>
        <w:continuationSeparator/>
      </w:r>
    </w:p>
  </w:footnote>
  <w:footnote w:type="continuationNotice" w:id="1">
    <w:p w14:paraId="16009878" w14:textId="77777777" w:rsidR="00A942C1" w:rsidRDefault="00A942C1"/>
  </w:footnote>
  <w:footnote w:id="2">
    <w:p w14:paraId="4899F1FD" w14:textId="3B2BAF17" w:rsidR="00C73E55" w:rsidRDefault="00C73E55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התשמ"ד, עמ' 198.</w:t>
      </w:r>
    </w:p>
  </w:footnote>
  <w:footnote w:id="3">
    <w:p w14:paraId="7BEF4E46" w14:textId="77777777" w:rsidR="0023192A" w:rsidRDefault="0023192A" w:rsidP="0023192A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התשל"ז, עמ' 226.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45951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1701"/>
    <w:rsid w:val="00152609"/>
    <w:rsid w:val="00153E1B"/>
    <w:rsid w:val="00182CC9"/>
    <w:rsid w:val="001A0623"/>
    <w:rsid w:val="001A6B8F"/>
    <w:rsid w:val="001C23B0"/>
    <w:rsid w:val="001D7AAF"/>
    <w:rsid w:val="00203A7F"/>
    <w:rsid w:val="0021633A"/>
    <w:rsid w:val="002200A1"/>
    <w:rsid w:val="002215F1"/>
    <w:rsid w:val="0023192A"/>
    <w:rsid w:val="002362BF"/>
    <w:rsid w:val="00241B97"/>
    <w:rsid w:val="002425D1"/>
    <w:rsid w:val="00246756"/>
    <w:rsid w:val="00251E58"/>
    <w:rsid w:val="00254605"/>
    <w:rsid w:val="00266D86"/>
    <w:rsid w:val="002728B4"/>
    <w:rsid w:val="002757DF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52A90"/>
    <w:rsid w:val="00357443"/>
    <w:rsid w:val="0036422C"/>
    <w:rsid w:val="003710F6"/>
    <w:rsid w:val="00386E88"/>
    <w:rsid w:val="00396585"/>
    <w:rsid w:val="003C1AEC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052A3"/>
    <w:rsid w:val="00553C9D"/>
    <w:rsid w:val="00562A66"/>
    <w:rsid w:val="005B064E"/>
    <w:rsid w:val="005D51AE"/>
    <w:rsid w:val="0062674B"/>
    <w:rsid w:val="006363B2"/>
    <w:rsid w:val="00644940"/>
    <w:rsid w:val="006818A9"/>
    <w:rsid w:val="00686079"/>
    <w:rsid w:val="006A2D81"/>
    <w:rsid w:val="006C1D0D"/>
    <w:rsid w:val="0070601E"/>
    <w:rsid w:val="00712C72"/>
    <w:rsid w:val="00735FE9"/>
    <w:rsid w:val="00763CAA"/>
    <w:rsid w:val="00765F66"/>
    <w:rsid w:val="0078664F"/>
    <w:rsid w:val="007A484B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6F04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6663A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73E55"/>
    <w:rsid w:val="00C9176A"/>
    <w:rsid w:val="00CF1AA2"/>
    <w:rsid w:val="00D130DB"/>
    <w:rsid w:val="00D17774"/>
    <w:rsid w:val="00D63620"/>
    <w:rsid w:val="00D8410D"/>
    <w:rsid w:val="00D867D7"/>
    <w:rsid w:val="00DB7060"/>
    <w:rsid w:val="00DE3153"/>
    <w:rsid w:val="00E06736"/>
    <w:rsid w:val="00E13C27"/>
    <w:rsid w:val="00E26AEF"/>
    <w:rsid w:val="00E33BBD"/>
    <w:rsid w:val="00E374F2"/>
    <w:rsid w:val="00E45103"/>
    <w:rsid w:val="00E55A60"/>
    <w:rsid w:val="00E62778"/>
    <w:rsid w:val="00E63D38"/>
    <w:rsid w:val="00E665B9"/>
    <w:rsid w:val="00E827D2"/>
    <w:rsid w:val="00EA01E6"/>
    <w:rsid w:val="00EA3DE8"/>
    <w:rsid w:val="00EA758F"/>
    <w:rsid w:val="00ED4A6F"/>
    <w:rsid w:val="00EF3A3A"/>
    <w:rsid w:val="00F47B4D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E7CC2A52-7C30-40EF-A06A-B08F5CE6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B8F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1A6B8F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1A6B8F"/>
    <w:rPr>
      <w:sz w:val="36"/>
      <w:szCs w:val="52"/>
    </w:rPr>
  </w:style>
  <w:style w:type="paragraph" w:customStyle="1" w:styleId="Cover3-Haknesset">
    <w:name w:val="Cover 3-Haknesset"/>
    <w:basedOn w:val="Cover1-Reshumot"/>
    <w:rsid w:val="001A6B8F"/>
    <w:rPr>
      <w:b/>
      <w:bCs/>
      <w:spacing w:val="60"/>
    </w:rPr>
  </w:style>
  <w:style w:type="paragraph" w:customStyle="1" w:styleId="Cover4-Date">
    <w:name w:val="Cover 4-Date"/>
    <w:basedOn w:val="a"/>
    <w:rsid w:val="001A6B8F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1A6B8F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1A6B8F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1A6B8F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1A6B8F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1A6B8F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1A6B8F"/>
  </w:style>
  <w:style w:type="paragraph" w:customStyle="1" w:styleId="TableBlock">
    <w:name w:val="Table Block"/>
    <w:basedOn w:val="TableText"/>
    <w:rsid w:val="001A6B8F"/>
    <w:pPr>
      <w:ind w:right="0"/>
      <w:jc w:val="both"/>
    </w:pPr>
  </w:style>
  <w:style w:type="paragraph" w:customStyle="1" w:styleId="TableHead">
    <w:name w:val="Table Head"/>
    <w:basedOn w:val="TableText"/>
    <w:rsid w:val="001A6B8F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1A6B8F"/>
  </w:style>
  <w:style w:type="paragraph" w:customStyle="1" w:styleId="Hesber">
    <w:name w:val="Hesber"/>
    <w:basedOn w:val="a"/>
    <w:rsid w:val="001A6B8F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1A6B8F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1A6B8F"/>
    <w:rPr>
      <w:vertAlign w:val="superscript"/>
    </w:rPr>
  </w:style>
  <w:style w:type="paragraph" w:customStyle="1" w:styleId="HesberHeading">
    <w:name w:val="Hesber Heading"/>
    <w:basedOn w:val="Hesber"/>
    <w:rsid w:val="001A6B8F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1A6B8F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1A6B8F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1A6B8F"/>
    <w:rPr>
      <w:vertAlign w:val="superscript"/>
    </w:rPr>
  </w:style>
  <w:style w:type="paragraph" w:customStyle="1" w:styleId="TableBlockOutdent">
    <w:name w:val="Table BlockOutdent"/>
    <w:basedOn w:val="TableBlock"/>
    <w:rsid w:val="001A6B8F"/>
    <w:pPr>
      <w:ind w:left="624" w:hanging="624"/>
    </w:pPr>
  </w:style>
  <w:style w:type="paragraph" w:styleId="a7">
    <w:name w:val="header"/>
    <w:basedOn w:val="a"/>
    <w:rsid w:val="001A6B8F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1A6B8F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1A6B8F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1A6B8F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1A6B8F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styleId="ad">
    <w:name w:val="annotation reference"/>
    <w:basedOn w:val="a0"/>
    <w:semiHidden/>
    <w:unhideWhenUsed/>
    <w:rsid w:val="00C73E55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73E55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semiHidden/>
    <w:rsid w:val="00C73E55"/>
    <w:rPr>
      <w:rFonts w:ascii="Hadasa Roso SL" w:hAnsi="Hadasa Roso SL" w:cs="Hadasa Roso SL"/>
      <w:color w:val="000000"/>
      <w:spacing w:val="1"/>
      <w:lang w:eastAsia="ja-JP"/>
    </w:rPr>
  </w:style>
  <w:style w:type="paragraph" w:styleId="af0">
    <w:name w:val="annotation subject"/>
    <w:basedOn w:val="ae"/>
    <w:next w:val="ae"/>
    <w:link w:val="af1"/>
    <w:semiHidden/>
    <w:unhideWhenUsed/>
    <w:rsid w:val="00C73E55"/>
    <w:rPr>
      <w:b/>
      <w:bCs/>
    </w:rPr>
  </w:style>
  <w:style w:type="character" w:customStyle="1" w:styleId="af1">
    <w:name w:val="נושא הערה תו"/>
    <w:basedOn w:val="af"/>
    <w:link w:val="af0"/>
    <w:semiHidden/>
    <w:rsid w:val="00C73E55"/>
    <w:rPr>
      <w:rFonts w:ascii="Hadasa Roso SL" w:hAnsi="Hadasa Roso SL" w:cs="Hadasa Roso SL"/>
      <w:b/>
      <w:bCs/>
      <w:color w:val="000000"/>
      <w:spacing w:val="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1C1B27-9DC0-4F98-B078-41C713FDE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9B1940-9335-4749-A700-F9542FB44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288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17</cp:revision>
  <cp:lastPrinted>2017-10-18T10:11:00Z</cp:lastPrinted>
  <dcterms:created xsi:type="dcterms:W3CDTF">2015-04-20T09:58:00Z</dcterms:created>
  <dcterms:modified xsi:type="dcterms:W3CDTF">2017-10-18T10:11:00Z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2020942</vt:r8>
  </property>
</Properties>
</file>