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2018139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A" w14:textId="69719260" w:rsidR="00E13C27" w:rsidRPr="00CF1AA2" w:rsidRDefault="008F6665" w:rsidP="00C62BF7">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מיכאל מלכיאלי</w:t>
      </w:r>
      <w:r>
        <w:br/>
      </w:r>
      <w:r>
        <w:rPr>
          <w:rFonts w:hint="cs"/>
          <w:b/>
          <w:bCs/>
          <w:rtl/>
        </w:rPr>
        <w:t xml:space="preserve"> </w:t>
      </w:r>
      <w:r>
        <w:tab/>
      </w:r>
      <w:r>
        <w:tab/>
      </w:r>
      <w:r>
        <w:tab/>
      </w:r>
      <w:r>
        <w:tab/>
      </w:r>
      <w:r>
        <w:rPr>
          <w:rFonts w:hint="cs"/>
          <w:b/>
          <w:bCs/>
          <w:rtl/>
        </w:rPr>
        <w:t>רועי פולקמן</w:t>
      </w:r>
      <w:r>
        <w:br/>
      </w:r>
      <w:r>
        <w:rPr>
          <w:rFonts w:hint="cs"/>
          <w:b/>
          <w:bCs/>
          <w:rtl/>
        </w:rPr>
        <w:t xml:space="preserve"> </w:t>
      </w:r>
      <w:r>
        <w:tab/>
      </w:r>
      <w:r>
        <w:tab/>
      </w:r>
      <w:r>
        <w:tab/>
      </w:r>
      <w:r>
        <w:tab/>
      </w:r>
      <w:r>
        <w:rPr>
          <w:rFonts w:hint="cs"/>
          <w:b/>
          <w:bCs/>
          <w:rtl/>
        </w:rPr>
        <w:t>יגאל גואטה</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פ/4402/20</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2BC08494" w:rsidR="00E13C27" w:rsidRDefault="00A443CF" w:rsidP="00C62BF7">
      <w:pPr>
        <w:pStyle w:val="HeadHatzaotHok"/>
        <w:spacing w:line="240" w:lineRule="auto"/>
        <w:rPr>
          <w:rtl/>
        </w:rPr>
      </w:pPr>
      <w:bookmarkStart w:id="7" w:name="LGS_Subject"/>
      <w:r>
        <w:rPr>
          <w:rFonts w:hint="cs"/>
          <w:rtl/>
        </w:rPr>
        <w:t xml:space="preserve">הצעת חוק הגנת הצרכן (תיקון – הודעה בטלפון </w:t>
      </w:r>
      <w:bookmarkStart w:id="8" w:name="_GoBack"/>
      <w:r>
        <w:rPr>
          <w:rFonts w:hint="cs"/>
          <w:rtl/>
        </w:rPr>
        <w:t xml:space="preserve">על מועד סיום עסקה או התחייבות), התשע"ז–2017 </w:t>
      </w:r>
      <w:bookmarkEnd w:id="7"/>
    </w:p>
    <w:p w14:paraId="3F38225A" w14:textId="77777777" w:rsidR="000121D8" w:rsidRDefault="000121D8" w:rsidP="00C62BF7">
      <w:pPr>
        <w:pStyle w:val="HeadHatzaotHok"/>
        <w:spacing w:line="240" w:lineRule="auto"/>
        <w:rPr>
          <w:rtl/>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70"/>
        <w:gridCol w:w="624"/>
        <w:gridCol w:w="7144"/>
      </w:tblGrid>
      <w:tr w:rsidR="009703AE" w:rsidRPr="00B12345" w14:paraId="6F4C6DD4" w14:textId="77777777" w:rsidTr="003F7492">
        <w:trPr>
          <w:cantSplit/>
        </w:trPr>
        <w:tc>
          <w:tcPr>
            <w:tcW w:w="1870" w:type="dxa"/>
          </w:tcPr>
          <w:bookmarkEnd w:id="8"/>
          <w:p w14:paraId="65847EA8" w14:textId="52679DCE" w:rsidR="009703AE" w:rsidRPr="00880078" w:rsidRDefault="00D4654D" w:rsidP="00B82ADB">
            <w:pPr>
              <w:pStyle w:val="TableSideHeading"/>
              <w:keepLines w:val="0"/>
              <w:rPr>
                <w:rtl/>
              </w:rPr>
            </w:pPr>
            <w:r>
              <w:rPr>
                <w:rFonts w:hint="cs"/>
                <w:rtl/>
              </w:rPr>
              <w:t>תיקון סעיף 13א</w:t>
            </w:r>
          </w:p>
        </w:tc>
        <w:tc>
          <w:tcPr>
            <w:tcW w:w="624" w:type="dxa"/>
          </w:tcPr>
          <w:p w14:paraId="26FBD9FC" w14:textId="77777777" w:rsidR="009703AE" w:rsidRPr="00880078" w:rsidRDefault="009703AE" w:rsidP="00B82ADB">
            <w:pPr>
              <w:pStyle w:val="TableText"/>
              <w:keepLines w:val="0"/>
              <w:textAlignment w:val="auto"/>
            </w:pPr>
            <w:r>
              <w:rPr>
                <w:rFonts w:hint="cs"/>
                <w:rtl/>
              </w:rPr>
              <w:t>1.</w:t>
            </w:r>
          </w:p>
        </w:tc>
        <w:tc>
          <w:tcPr>
            <w:tcW w:w="7144" w:type="dxa"/>
          </w:tcPr>
          <w:p w14:paraId="26E6620E" w14:textId="063D5C0F" w:rsidR="009703AE" w:rsidRPr="00B12345" w:rsidRDefault="009703AE" w:rsidP="003F7492">
            <w:pPr>
              <w:pStyle w:val="TableBlock"/>
              <w:rPr>
                <w:rtl/>
              </w:rPr>
            </w:pPr>
            <w:r>
              <w:rPr>
                <w:rFonts w:hint="cs"/>
                <w:rtl/>
              </w:rPr>
              <w:t>בחוק</w:t>
            </w:r>
            <w:r>
              <w:rPr>
                <w:rFonts w:hint="cs"/>
                <w:szCs w:val="20"/>
                <w:rtl/>
              </w:rPr>
              <w:t xml:space="preserve"> </w:t>
            </w:r>
            <w:r w:rsidRPr="000D095B">
              <w:rPr>
                <w:rFonts w:hint="cs"/>
                <w:sz w:val="26"/>
                <w:rtl/>
              </w:rPr>
              <w:t>הגנת הצרכן</w:t>
            </w:r>
            <w:r w:rsidR="00B91B88">
              <w:rPr>
                <w:rFonts w:hint="cs"/>
                <w:sz w:val="26"/>
                <w:rtl/>
              </w:rPr>
              <w:t>, התשמ"א</w:t>
            </w:r>
            <w:r w:rsidR="00B91B88">
              <w:rPr>
                <w:rFonts w:hint="eastAsia"/>
                <w:sz w:val="26"/>
                <w:rtl/>
              </w:rPr>
              <w:t>–1</w:t>
            </w:r>
            <w:r w:rsidR="00B91B88">
              <w:rPr>
                <w:rFonts w:hint="cs"/>
                <w:sz w:val="26"/>
                <w:rtl/>
              </w:rPr>
              <w:t>981</w:t>
            </w:r>
            <w:r w:rsidR="00B91B88">
              <w:rPr>
                <w:rStyle w:val="a5"/>
                <w:sz w:val="26"/>
                <w:rtl/>
              </w:rPr>
              <w:footnoteReference w:id="2"/>
            </w:r>
            <w:r>
              <w:rPr>
                <w:rFonts w:hint="cs"/>
                <w:rtl/>
              </w:rPr>
              <w:t xml:space="preserve">, </w:t>
            </w:r>
            <w:r w:rsidR="00B91B88">
              <w:rPr>
                <w:rFonts w:hint="cs"/>
                <w:rtl/>
              </w:rPr>
              <w:t>בסעיף 13א</w:t>
            </w:r>
            <w:r w:rsidR="003F7492">
              <w:rPr>
                <w:rFonts w:hint="cs"/>
                <w:rtl/>
              </w:rPr>
              <w:t>(ב), בסופו יבוא:</w:t>
            </w:r>
            <w:r w:rsidR="00B91B88">
              <w:rPr>
                <w:rFonts w:hint="cs"/>
                <w:rtl/>
              </w:rPr>
              <w:t xml:space="preserve"> </w:t>
            </w:r>
          </w:p>
        </w:tc>
      </w:tr>
      <w:tr w:rsidR="00C62BF7" w14:paraId="00B8093C" w14:textId="77777777" w:rsidTr="00EB2518">
        <w:tblPrEx>
          <w:tblLook w:val="01E0" w:firstRow="1" w:lastRow="1" w:firstColumn="1" w:lastColumn="1" w:noHBand="0" w:noVBand="0"/>
        </w:tblPrEx>
        <w:trPr>
          <w:cantSplit/>
          <w:trHeight w:val="60"/>
        </w:trPr>
        <w:tc>
          <w:tcPr>
            <w:tcW w:w="1870" w:type="dxa"/>
          </w:tcPr>
          <w:p w14:paraId="5517C9DA" w14:textId="55B33D90" w:rsidR="00C62BF7" w:rsidRDefault="00C62BF7">
            <w:pPr>
              <w:pStyle w:val="TableSideHeading"/>
            </w:pPr>
          </w:p>
        </w:tc>
        <w:tc>
          <w:tcPr>
            <w:tcW w:w="624" w:type="dxa"/>
          </w:tcPr>
          <w:p w14:paraId="0CA7943A" w14:textId="77777777" w:rsidR="00C62BF7" w:rsidRDefault="00C62BF7">
            <w:pPr>
              <w:pStyle w:val="TableText"/>
            </w:pPr>
          </w:p>
        </w:tc>
        <w:tc>
          <w:tcPr>
            <w:tcW w:w="7144" w:type="dxa"/>
          </w:tcPr>
          <w:p w14:paraId="6B3F915A" w14:textId="65753BF4" w:rsidR="00C62BF7" w:rsidRDefault="00C62BF7" w:rsidP="00F968A9">
            <w:pPr>
              <w:pStyle w:val="TableBlock"/>
            </w:pPr>
            <w:r>
              <w:rPr>
                <w:rFonts w:hint="cs"/>
                <w:rtl/>
              </w:rPr>
              <w:t>"(4)</w:t>
            </w:r>
            <w:r>
              <w:rPr>
                <w:rtl/>
              </w:rPr>
              <w:tab/>
            </w:r>
            <w:r>
              <w:rPr>
                <w:rFonts w:hint="cs"/>
                <w:rtl/>
              </w:rPr>
              <w:t xml:space="preserve">בעל פה </w:t>
            </w:r>
            <w:r>
              <w:rPr>
                <w:rFonts w:hint="eastAsia"/>
                <w:rtl/>
              </w:rPr>
              <w:t>–</w:t>
            </w:r>
            <w:r>
              <w:rPr>
                <w:rFonts w:hint="cs"/>
                <w:rtl/>
              </w:rPr>
              <w:t xml:space="preserve"> </w:t>
            </w:r>
            <w:r w:rsidRPr="003F7492">
              <w:rPr>
                <w:rFonts w:hint="eastAsia"/>
                <w:rtl/>
              </w:rPr>
              <w:t>למספר</w:t>
            </w:r>
            <w:r w:rsidRPr="003F7492">
              <w:rPr>
                <w:rtl/>
              </w:rPr>
              <w:t xml:space="preserve"> הטלפון הנייד </w:t>
            </w:r>
            <w:r>
              <w:rPr>
                <w:rFonts w:hint="cs"/>
                <w:rtl/>
              </w:rPr>
              <w:t>שמסר</w:t>
            </w:r>
            <w:r w:rsidRPr="003F7492">
              <w:rPr>
                <w:rtl/>
              </w:rPr>
              <w:t xml:space="preserve"> הצרכן</w:t>
            </w:r>
            <w:r>
              <w:rPr>
                <w:rFonts w:hint="cs"/>
                <w:rtl/>
              </w:rPr>
              <w:t xml:space="preserve"> לעוסק</w:t>
            </w:r>
            <w:r w:rsidRPr="003F7492">
              <w:rPr>
                <w:rtl/>
              </w:rPr>
              <w:t>,</w:t>
            </w:r>
            <w:r>
              <w:rPr>
                <w:rFonts w:hint="cs"/>
                <w:rtl/>
              </w:rPr>
              <w:t xml:space="preserve"> אם מסר </w:t>
            </w:r>
            <w:r>
              <w:rPr>
                <w:rFonts w:hint="eastAsia"/>
                <w:rtl/>
              </w:rPr>
              <w:t>–</w:t>
            </w:r>
            <w:r w:rsidRPr="003F7492">
              <w:rPr>
                <w:rtl/>
              </w:rPr>
              <w:t xml:space="preserve"> 21 ימים לפני מועד סיום העסקה או ההתחייבות, ואם חל מועד מסירת ההודעה לפי פסקה זו בשבת או בחג – ביום שלאחר השבת או החג.</w:t>
            </w:r>
            <w:r>
              <w:rPr>
                <w:rFonts w:hint="cs"/>
                <w:rtl/>
              </w:rPr>
              <w:t>"</w:t>
            </w:r>
          </w:p>
        </w:tc>
      </w:tr>
    </w:tbl>
    <w:p w14:paraId="4FEBB2A9" w14:textId="77777777" w:rsidR="009703AE" w:rsidRPr="00625D67" w:rsidRDefault="009703AE" w:rsidP="009703AE">
      <w:pPr>
        <w:pStyle w:val="HeadDivreiHesber"/>
        <w:tabs>
          <w:tab w:val="center" w:pos="4819"/>
        </w:tabs>
        <w:jc w:val="both"/>
        <w:rPr>
          <w:sz w:val="26"/>
          <w:rtl/>
        </w:rPr>
      </w:pPr>
      <w:r w:rsidRPr="00625D67">
        <w:rPr>
          <w:sz w:val="26"/>
          <w:rtl/>
        </w:rPr>
        <w:tab/>
      </w:r>
      <w:r w:rsidRPr="00625D67">
        <w:rPr>
          <w:rFonts w:hint="cs"/>
          <w:sz w:val="26"/>
          <w:rtl/>
        </w:rPr>
        <w:t>דברי הסבר</w:t>
      </w:r>
    </w:p>
    <w:p w14:paraId="264791BA" w14:textId="40761FA6" w:rsidR="00B302AA" w:rsidRDefault="0002761D" w:rsidP="00B302AA">
      <w:pPr>
        <w:spacing w:line="360" w:lineRule="auto"/>
        <w:rPr>
          <w:rFonts w:cs="David"/>
          <w:sz w:val="26"/>
          <w:szCs w:val="26"/>
          <w:rtl/>
        </w:rPr>
      </w:pPr>
      <w:r>
        <w:rPr>
          <w:rFonts w:cs="David" w:hint="cs"/>
          <w:sz w:val="26"/>
          <w:szCs w:val="26"/>
          <w:rtl/>
        </w:rPr>
        <w:t xml:space="preserve">סעיף 13א לחוק הגנת הצרכן, התשמ"א–1981 (להלן – חוק הגנת הצרכן), </w:t>
      </w:r>
      <w:r w:rsidR="004F1081">
        <w:rPr>
          <w:rFonts w:cs="David" w:hint="cs"/>
          <w:sz w:val="26"/>
          <w:szCs w:val="26"/>
          <w:rtl/>
        </w:rPr>
        <w:t xml:space="preserve">שעניינו "עסקה לתקופה קצובה", </w:t>
      </w:r>
      <w:r>
        <w:rPr>
          <w:rFonts w:cs="David" w:hint="cs"/>
          <w:sz w:val="26"/>
          <w:szCs w:val="26"/>
          <w:rtl/>
        </w:rPr>
        <w:t xml:space="preserve">קובע כי על עוסק להודיע לצרכן, בדרכים הקבועות בסעיף קטן (ב), על מועד סיום עסקה או התחייבות, בין היתר, במסרון, </w:t>
      </w:r>
      <w:r w:rsidRPr="00625D67">
        <w:rPr>
          <w:rFonts w:cs="David" w:hint="cs"/>
          <w:sz w:val="26"/>
          <w:szCs w:val="26"/>
          <w:rtl/>
        </w:rPr>
        <w:t>21 ימים לפני מועד סיום העסקה</w:t>
      </w:r>
      <w:r w:rsidR="00B302AA">
        <w:rPr>
          <w:rFonts w:cs="David" w:hint="cs"/>
          <w:sz w:val="26"/>
          <w:szCs w:val="26"/>
          <w:rtl/>
        </w:rPr>
        <w:t xml:space="preserve"> או </w:t>
      </w:r>
      <w:r>
        <w:rPr>
          <w:rFonts w:cs="David" w:hint="cs"/>
          <w:sz w:val="26"/>
          <w:szCs w:val="26"/>
          <w:rtl/>
        </w:rPr>
        <w:t>התחייבות.</w:t>
      </w:r>
    </w:p>
    <w:p w14:paraId="02279164" w14:textId="7F0E4CCB" w:rsidR="000121D8" w:rsidRDefault="009703AE" w:rsidP="00B302AA">
      <w:pPr>
        <w:spacing w:line="360" w:lineRule="auto"/>
        <w:rPr>
          <w:rFonts w:cs="David"/>
          <w:sz w:val="26"/>
          <w:szCs w:val="26"/>
          <w:rtl/>
        </w:rPr>
      </w:pPr>
      <w:r w:rsidRPr="00625D67">
        <w:rPr>
          <w:rFonts w:cs="David" w:hint="cs"/>
          <w:sz w:val="26"/>
          <w:szCs w:val="26"/>
          <w:rtl/>
        </w:rPr>
        <w:t xml:space="preserve">ככלל, </w:t>
      </w:r>
      <w:r w:rsidR="004F1081">
        <w:rPr>
          <w:rFonts w:cs="David" w:hint="cs"/>
          <w:sz w:val="26"/>
          <w:szCs w:val="26"/>
          <w:rtl/>
        </w:rPr>
        <w:t xml:space="preserve">בהתאם לסעיף 13א(ג) לחוק, </w:t>
      </w:r>
      <w:r w:rsidRPr="00625D67">
        <w:rPr>
          <w:rFonts w:cs="David" w:hint="cs"/>
          <w:sz w:val="26"/>
          <w:szCs w:val="26"/>
          <w:rtl/>
        </w:rPr>
        <w:t>עוסק מחויב לקבל הסכמתו המפורשת של צרכן לשם הארכת חוזה קיים</w:t>
      </w:r>
      <w:r w:rsidR="00B302AA">
        <w:rPr>
          <w:rFonts w:cs="David" w:hint="cs"/>
          <w:sz w:val="26"/>
          <w:szCs w:val="26"/>
          <w:rtl/>
        </w:rPr>
        <w:t xml:space="preserve">. חריגים </w:t>
      </w:r>
      <w:r w:rsidR="00B302AA" w:rsidRPr="00625D67">
        <w:rPr>
          <w:rFonts w:cs="David" w:hint="cs"/>
          <w:sz w:val="26"/>
          <w:szCs w:val="26"/>
          <w:rtl/>
        </w:rPr>
        <w:t xml:space="preserve">לכלל </w:t>
      </w:r>
      <w:r w:rsidR="00C62BF7">
        <w:rPr>
          <w:rFonts w:cs="David" w:hint="cs"/>
          <w:sz w:val="26"/>
          <w:szCs w:val="26"/>
          <w:rtl/>
        </w:rPr>
        <w:t>האמור ה</w:t>
      </w:r>
      <w:r w:rsidR="00B302AA" w:rsidRPr="00625D67">
        <w:rPr>
          <w:rFonts w:cs="David" w:hint="cs"/>
          <w:sz w:val="26"/>
          <w:szCs w:val="26"/>
          <w:rtl/>
        </w:rPr>
        <w:t>ם עסקאות הקשורות במתן שירותים חיוניים</w:t>
      </w:r>
      <w:r w:rsidR="00B302AA">
        <w:rPr>
          <w:rFonts w:cs="David" w:hint="cs"/>
          <w:sz w:val="26"/>
          <w:szCs w:val="26"/>
        </w:rPr>
        <w:t xml:space="preserve"> </w:t>
      </w:r>
      <w:r w:rsidR="00B302AA">
        <w:rPr>
          <w:rFonts w:cs="David" w:hint="cs"/>
          <w:sz w:val="26"/>
          <w:szCs w:val="26"/>
          <w:rtl/>
        </w:rPr>
        <w:t>– שירותי טלפון בסיסיים וגז,</w:t>
      </w:r>
      <w:r w:rsidR="00B302AA" w:rsidRPr="00625D67">
        <w:rPr>
          <w:rFonts w:cs="David" w:hint="cs"/>
          <w:sz w:val="26"/>
          <w:szCs w:val="26"/>
          <w:rtl/>
        </w:rPr>
        <w:t xml:space="preserve"> בהם אין צורך לקבל </w:t>
      </w:r>
      <w:r w:rsidR="00C62BF7">
        <w:rPr>
          <w:rFonts w:cs="David" w:hint="cs"/>
          <w:sz w:val="26"/>
          <w:szCs w:val="26"/>
          <w:rtl/>
        </w:rPr>
        <w:t xml:space="preserve">את </w:t>
      </w:r>
      <w:r w:rsidR="00B302AA" w:rsidRPr="00625D67">
        <w:rPr>
          <w:rFonts w:cs="David" w:hint="cs"/>
          <w:sz w:val="26"/>
          <w:szCs w:val="26"/>
          <w:rtl/>
        </w:rPr>
        <w:t>הסכמתו המפורשת של צרכן לשם המשך הספקת השירות</w:t>
      </w:r>
      <w:r w:rsidR="004F1081">
        <w:rPr>
          <w:rFonts w:cs="David" w:hint="cs"/>
          <w:sz w:val="26"/>
          <w:szCs w:val="26"/>
          <w:rtl/>
        </w:rPr>
        <w:t>, ובלבד שהעוסק יודיע לצרכן 30 עד 60 ימים לפני מועד סיום החוזה (להלן – תקופת ההודעה), על מועד הסיום (סעיף קטן (ד)(1)).</w:t>
      </w:r>
      <w:r w:rsidR="00B302AA">
        <w:rPr>
          <w:rFonts w:cs="David" w:hint="cs"/>
          <w:sz w:val="26"/>
          <w:szCs w:val="26"/>
          <w:rtl/>
        </w:rPr>
        <w:t xml:space="preserve"> </w:t>
      </w:r>
    </w:p>
    <w:p w14:paraId="417B066B" w14:textId="025F1DF8" w:rsidR="00D4654D" w:rsidRDefault="00C62BF7" w:rsidP="00B302AA">
      <w:pPr>
        <w:spacing w:line="360" w:lineRule="auto"/>
        <w:rPr>
          <w:rFonts w:cs="David"/>
          <w:sz w:val="26"/>
          <w:szCs w:val="26"/>
          <w:rtl/>
        </w:rPr>
      </w:pPr>
      <w:r>
        <w:rPr>
          <w:rFonts w:cs="David" w:hint="cs"/>
          <w:sz w:val="26"/>
          <w:szCs w:val="26"/>
          <w:rtl/>
        </w:rPr>
        <w:t>כמו כן</w:t>
      </w:r>
      <w:r w:rsidR="000121D8">
        <w:rPr>
          <w:rFonts w:cs="David" w:hint="cs"/>
          <w:sz w:val="26"/>
          <w:szCs w:val="26"/>
          <w:rtl/>
        </w:rPr>
        <w:t>, אין צורך לקבל את הסכמת הצרכן אם ניתנת לצרכן הטבה לתקופה מוגבלת, שבסיומה ישלם הצרכן תשלומים שסכומם ננקב באופן ברור ומפורט במסמך בכתב, וניתנה לצרכן הודעה בכתב, בתקופת ההודעה, על מועד סיום ההטבה והתשלומים ש</w:t>
      </w:r>
      <w:r w:rsidR="00B302AA">
        <w:rPr>
          <w:rFonts w:cs="David" w:hint="cs"/>
          <w:sz w:val="26"/>
          <w:szCs w:val="26"/>
          <w:rtl/>
        </w:rPr>
        <w:t>י</w:t>
      </w:r>
      <w:r w:rsidR="000121D8">
        <w:rPr>
          <w:rFonts w:cs="David" w:hint="cs"/>
          <w:sz w:val="26"/>
          <w:szCs w:val="26"/>
          <w:rtl/>
        </w:rPr>
        <w:t>ש</w:t>
      </w:r>
      <w:r w:rsidR="00B302AA">
        <w:rPr>
          <w:rFonts w:cs="David" w:hint="cs"/>
          <w:sz w:val="26"/>
          <w:szCs w:val="26"/>
          <w:rtl/>
        </w:rPr>
        <w:t>ל</w:t>
      </w:r>
      <w:r w:rsidR="000121D8">
        <w:rPr>
          <w:rFonts w:cs="David" w:hint="cs"/>
          <w:sz w:val="26"/>
          <w:szCs w:val="26"/>
          <w:rtl/>
        </w:rPr>
        <w:t>ם מאותו מועד. החובה למסור הודעה כאמור לא חלה אם תקופת ההטבה חלה בתוך ארבעה חודשים ממועד ההתקשרות בעסקה</w:t>
      </w:r>
      <w:r w:rsidR="00B302AA">
        <w:rPr>
          <w:rFonts w:cs="David" w:hint="cs"/>
          <w:sz w:val="26"/>
          <w:szCs w:val="26"/>
          <w:rtl/>
        </w:rPr>
        <w:t xml:space="preserve"> (סעיף קטן (ד)(2)</w:t>
      </w:r>
      <w:r>
        <w:rPr>
          <w:rFonts w:cs="David" w:hint="cs"/>
          <w:sz w:val="26"/>
          <w:szCs w:val="26"/>
          <w:rtl/>
        </w:rPr>
        <w:t>)</w:t>
      </w:r>
      <w:r w:rsidR="000121D8">
        <w:rPr>
          <w:rFonts w:cs="David" w:hint="cs"/>
          <w:sz w:val="26"/>
          <w:szCs w:val="26"/>
          <w:rtl/>
        </w:rPr>
        <w:t>.</w:t>
      </w:r>
      <w:r w:rsidR="00D4654D">
        <w:rPr>
          <w:rFonts w:cs="David" w:hint="cs"/>
          <w:sz w:val="26"/>
          <w:szCs w:val="26"/>
          <w:rtl/>
        </w:rPr>
        <w:t xml:space="preserve"> </w:t>
      </w:r>
    </w:p>
    <w:p w14:paraId="28DA1007" w14:textId="2514C2B5" w:rsidR="009703AE" w:rsidRPr="00625D67" w:rsidRDefault="009703AE" w:rsidP="00B302AA">
      <w:pPr>
        <w:spacing w:line="360" w:lineRule="auto"/>
        <w:rPr>
          <w:rFonts w:cs="David"/>
          <w:sz w:val="26"/>
          <w:szCs w:val="26"/>
          <w:rtl/>
        </w:rPr>
      </w:pPr>
      <w:r w:rsidRPr="00625D67">
        <w:rPr>
          <w:rFonts w:cs="David" w:hint="cs"/>
          <w:sz w:val="26"/>
          <w:szCs w:val="26"/>
          <w:rtl/>
        </w:rPr>
        <w:t xml:space="preserve">אכן, האחריות שלנו כצרכנים היא לעקוב ולוודא מה אנו משלמים כמו גם מתי מסתיימת העסקה עליה התחייבנו, אולם גם לעוסק אחריות בסיסית בדיווח לצרכן </w:t>
      </w:r>
      <w:r w:rsidR="00D4654D">
        <w:rPr>
          <w:rFonts w:cs="David" w:hint="cs"/>
          <w:sz w:val="26"/>
          <w:szCs w:val="26"/>
          <w:rtl/>
        </w:rPr>
        <w:t xml:space="preserve">אודות כל </w:t>
      </w:r>
      <w:r w:rsidRPr="00625D67">
        <w:rPr>
          <w:rFonts w:cs="David" w:hint="cs"/>
          <w:sz w:val="26"/>
          <w:szCs w:val="26"/>
          <w:rtl/>
        </w:rPr>
        <w:t xml:space="preserve">שינוי משמעותי בתנאי </w:t>
      </w:r>
      <w:r w:rsidR="00D4654D">
        <w:rPr>
          <w:rFonts w:cs="David" w:hint="cs"/>
          <w:sz w:val="26"/>
          <w:szCs w:val="26"/>
          <w:rtl/>
        </w:rPr>
        <w:t>העסקה לתקופה קצובה.</w:t>
      </w:r>
      <w:r w:rsidR="00D4654D" w:rsidRPr="00625D67">
        <w:rPr>
          <w:rFonts w:cs="David" w:hint="cs"/>
          <w:sz w:val="26"/>
          <w:szCs w:val="26"/>
          <w:rtl/>
        </w:rPr>
        <w:t xml:space="preserve"> </w:t>
      </w:r>
    </w:p>
    <w:p w14:paraId="50A5AB4B" w14:textId="5A5EA8F2" w:rsidR="009703AE" w:rsidRPr="00625D67" w:rsidRDefault="00D4654D" w:rsidP="004F1081">
      <w:pPr>
        <w:spacing w:line="360" w:lineRule="auto"/>
        <w:rPr>
          <w:rFonts w:cs="David"/>
          <w:sz w:val="26"/>
          <w:szCs w:val="26"/>
          <w:rtl/>
        </w:rPr>
      </w:pPr>
      <w:r>
        <w:rPr>
          <w:rFonts w:cs="David" w:hint="cs"/>
          <w:sz w:val="26"/>
          <w:szCs w:val="26"/>
          <w:rtl/>
        </w:rPr>
        <w:lastRenderedPageBreak/>
        <w:t>התיקון ה</w:t>
      </w:r>
      <w:r w:rsidR="009703AE" w:rsidRPr="00625D67">
        <w:rPr>
          <w:rFonts w:cs="David" w:hint="cs"/>
          <w:sz w:val="26"/>
          <w:szCs w:val="26"/>
          <w:rtl/>
        </w:rPr>
        <w:t xml:space="preserve">מוצע </w:t>
      </w:r>
      <w:r>
        <w:rPr>
          <w:rFonts w:cs="David" w:hint="cs"/>
          <w:sz w:val="26"/>
          <w:szCs w:val="26"/>
          <w:rtl/>
        </w:rPr>
        <w:t xml:space="preserve">קובע </w:t>
      </w:r>
      <w:r w:rsidR="009703AE" w:rsidRPr="00625D67">
        <w:rPr>
          <w:rFonts w:cs="David" w:hint="cs"/>
          <w:sz w:val="26"/>
          <w:szCs w:val="26"/>
          <w:rtl/>
        </w:rPr>
        <w:t xml:space="preserve">כי </w:t>
      </w:r>
      <w:r w:rsidR="002D34D8">
        <w:rPr>
          <w:rFonts w:cs="David" w:hint="cs"/>
          <w:sz w:val="26"/>
          <w:szCs w:val="26"/>
          <w:rtl/>
        </w:rPr>
        <w:t>נוסף על חובת הודעה במסרון לעניי</w:t>
      </w:r>
      <w:r w:rsidR="004F1081">
        <w:rPr>
          <w:rFonts w:cs="David" w:hint="cs"/>
          <w:sz w:val="26"/>
          <w:szCs w:val="26"/>
          <w:rtl/>
        </w:rPr>
        <w:t>ן</w:t>
      </w:r>
      <w:r w:rsidR="002D34D8">
        <w:rPr>
          <w:rFonts w:cs="David" w:hint="cs"/>
          <w:sz w:val="26"/>
          <w:szCs w:val="26"/>
          <w:rtl/>
        </w:rPr>
        <w:t xml:space="preserve"> מועד סיום העסקה או ההתחייבות בעסקה לתקופה קצובה, </w:t>
      </w:r>
      <w:r w:rsidR="009703AE" w:rsidRPr="00625D67">
        <w:rPr>
          <w:rFonts w:cs="David" w:hint="cs"/>
          <w:sz w:val="26"/>
          <w:szCs w:val="26"/>
          <w:rtl/>
        </w:rPr>
        <w:t xml:space="preserve">עוסק יחויב לחתור אקטיבית לשם יצירת קשר </w:t>
      </w:r>
      <w:r>
        <w:rPr>
          <w:rFonts w:cs="David" w:hint="cs"/>
          <w:sz w:val="26"/>
          <w:szCs w:val="26"/>
          <w:rtl/>
        </w:rPr>
        <w:t xml:space="preserve">טלפוני </w:t>
      </w:r>
      <w:r w:rsidR="009703AE" w:rsidRPr="00625D67">
        <w:rPr>
          <w:rFonts w:cs="David" w:hint="cs"/>
          <w:sz w:val="26"/>
          <w:szCs w:val="26"/>
          <w:rtl/>
        </w:rPr>
        <w:t>עם הצרכן</w:t>
      </w:r>
      <w:r w:rsidR="002D34D8">
        <w:rPr>
          <w:rFonts w:cs="David" w:hint="cs"/>
          <w:sz w:val="26"/>
          <w:szCs w:val="26"/>
          <w:rtl/>
        </w:rPr>
        <w:t xml:space="preserve"> ולהודיע על מועד סיום העסקה או ההתחייבות גם באמצעות שיחה טלפונית.</w:t>
      </w:r>
      <w:r w:rsidR="003032F1">
        <w:rPr>
          <w:rFonts w:cs="David" w:hint="cs"/>
          <w:sz w:val="26"/>
          <w:szCs w:val="26"/>
          <w:rtl/>
        </w:rPr>
        <w:t xml:space="preserve"> </w:t>
      </w:r>
    </w:p>
    <w:p w14:paraId="7EA93269" w14:textId="77777777" w:rsidR="009703AE" w:rsidRDefault="009703AE" w:rsidP="009703AE">
      <w:pPr>
        <w:pStyle w:val="Hesber"/>
        <w:rPr>
          <w:rtl/>
        </w:rPr>
      </w:pPr>
    </w:p>
    <w:p w14:paraId="71B2D17F" w14:textId="77777777" w:rsidR="00C62BF7" w:rsidRDefault="00C62BF7" w:rsidP="009703AE">
      <w:pPr>
        <w:pStyle w:val="Hesber"/>
        <w:rPr>
          <w:rtl/>
        </w:rPr>
      </w:pPr>
    </w:p>
    <w:p w14:paraId="160D5663" w14:textId="77777777" w:rsidR="00C62BF7" w:rsidRPr="00D73212" w:rsidRDefault="00C62BF7" w:rsidP="00C62BF7">
      <w:pPr>
        <w:pStyle w:val="Hesber"/>
        <w:rPr>
          <w:color w:val="auto"/>
          <w:rtl/>
          <w:lang w:eastAsia="en-US"/>
        </w:rPr>
      </w:pPr>
      <w:r w:rsidRPr="00D73212">
        <w:rPr>
          <w:color w:val="auto"/>
          <w:rtl/>
          <w:lang w:eastAsia="en-US"/>
        </w:rPr>
        <w:t>---------------------------------</w:t>
      </w:r>
    </w:p>
    <w:p w14:paraId="18B7DCA6" w14:textId="77777777" w:rsidR="00C62BF7" w:rsidRPr="00D73212" w:rsidRDefault="00C62BF7" w:rsidP="00C62BF7">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0989E20" w14:textId="77777777" w:rsidR="00C62BF7" w:rsidRPr="00D73212" w:rsidRDefault="00C62BF7" w:rsidP="00C62BF7">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59F718F3" w14:textId="77777777" w:rsidR="00C62BF7" w:rsidRPr="00317312" w:rsidRDefault="00C62BF7" w:rsidP="00C62BF7">
      <w:pPr>
        <w:pStyle w:val="Hesber"/>
      </w:pPr>
      <w:r>
        <w:rPr>
          <w:rFonts w:hint="cs"/>
          <w:color w:val="auto"/>
          <w:rtl/>
          <w:lang w:eastAsia="en-US"/>
        </w:rPr>
        <w:t>ט"ז בתמוז</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10.7</w:t>
      </w:r>
      <w:r w:rsidRPr="00D73212">
        <w:rPr>
          <w:color w:val="auto"/>
          <w:rtl/>
          <w:lang w:eastAsia="en-US"/>
        </w:rPr>
        <w:t>.</w:t>
      </w:r>
      <w:r>
        <w:rPr>
          <w:rFonts w:hint="cs"/>
          <w:color w:val="auto"/>
          <w:rtl/>
          <w:lang w:eastAsia="en-US"/>
        </w:rPr>
        <w:t>17</w:t>
      </w:r>
    </w:p>
    <w:p w14:paraId="3BFFE200" w14:textId="77777777" w:rsidR="009703AE" w:rsidRPr="00C62BF7" w:rsidRDefault="009703AE" w:rsidP="009703AE">
      <w:pPr>
        <w:pStyle w:val="Hesber"/>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C20EAF">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7C850870" w14:textId="28E531DA" w:rsidR="00B91B88" w:rsidRDefault="00B91B88">
      <w:pPr>
        <w:pStyle w:val="a4"/>
        <w:rPr>
          <w:rtl/>
        </w:rPr>
      </w:pPr>
      <w:r>
        <w:rPr>
          <w:rStyle w:val="a5"/>
        </w:rPr>
        <w:footnoteRef/>
      </w:r>
      <w:r>
        <w:rPr>
          <w:rtl/>
        </w:rPr>
        <w:t xml:space="preserve"> </w:t>
      </w:r>
      <w:r>
        <w:rPr>
          <w:rFonts w:hint="cs"/>
          <w:rtl/>
        </w:rPr>
        <w:t>ס"ח התשמ"א, עמ'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21D8"/>
    <w:rsid w:val="00015B27"/>
    <w:rsid w:val="0002761D"/>
    <w:rsid w:val="00063A3E"/>
    <w:rsid w:val="00072CAC"/>
    <w:rsid w:val="0007681A"/>
    <w:rsid w:val="000A542E"/>
    <w:rsid w:val="00102B6B"/>
    <w:rsid w:val="001031A1"/>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D34D8"/>
    <w:rsid w:val="002F1D80"/>
    <w:rsid w:val="003003AC"/>
    <w:rsid w:val="003032F1"/>
    <w:rsid w:val="003232A2"/>
    <w:rsid w:val="00325C14"/>
    <w:rsid w:val="0036422C"/>
    <w:rsid w:val="003710F6"/>
    <w:rsid w:val="00386E88"/>
    <w:rsid w:val="00390228"/>
    <w:rsid w:val="00396585"/>
    <w:rsid w:val="003D6E38"/>
    <w:rsid w:val="003D74A0"/>
    <w:rsid w:val="003F7492"/>
    <w:rsid w:val="004033D8"/>
    <w:rsid w:val="004073F0"/>
    <w:rsid w:val="00410BAC"/>
    <w:rsid w:val="00412A7D"/>
    <w:rsid w:val="00416B4D"/>
    <w:rsid w:val="00417CFC"/>
    <w:rsid w:val="004A06DC"/>
    <w:rsid w:val="004B24ED"/>
    <w:rsid w:val="004B6625"/>
    <w:rsid w:val="004D2D82"/>
    <w:rsid w:val="004D3876"/>
    <w:rsid w:val="004E4552"/>
    <w:rsid w:val="004E6CDF"/>
    <w:rsid w:val="004F1081"/>
    <w:rsid w:val="00553C9D"/>
    <w:rsid w:val="00562A66"/>
    <w:rsid w:val="005A1289"/>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703AE"/>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E73EF"/>
    <w:rsid w:val="00B10265"/>
    <w:rsid w:val="00B16A99"/>
    <w:rsid w:val="00B21211"/>
    <w:rsid w:val="00B302AA"/>
    <w:rsid w:val="00B35784"/>
    <w:rsid w:val="00B733A7"/>
    <w:rsid w:val="00B75C91"/>
    <w:rsid w:val="00B91B88"/>
    <w:rsid w:val="00B975AD"/>
    <w:rsid w:val="00BC45FB"/>
    <w:rsid w:val="00BF148D"/>
    <w:rsid w:val="00C20EAF"/>
    <w:rsid w:val="00C23B1A"/>
    <w:rsid w:val="00C310EB"/>
    <w:rsid w:val="00C62BF7"/>
    <w:rsid w:val="00C9176A"/>
    <w:rsid w:val="00CF1AA2"/>
    <w:rsid w:val="00D17774"/>
    <w:rsid w:val="00D4654D"/>
    <w:rsid w:val="00D63620"/>
    <w:rsid w:val="00D8410D"/>
    <w:rsid w:val="00D867D7"/>
    <w:rsid w:val="00DB7060"/>
    <w:rsid w:val="00DE3153"/>
    <w:rsid w:val="00E06736"/>
    <w:rsid w:val="00E13C27"/>
    <w:rsid w:val="00E16151"/>
    <w:rsid w:val="00E33BBD"/>
    <w:rsid w:val="00E374F2"/>
    <w:rsid w:val="00E45103"/>
    <w:rsid w:val="00E55A60"/>
    <w:rsid w:val="00E62778"/>
    <w:rsid w:val="00E63D38"/>
    <w:rsid w:val="00E665B9"/>
    <w:rsid w:val="00EA01E6"/>
    <w:rsid w:val="00EA2560"/>
    <w:rsid w:val="00EA3DE8"/>
    <w:rsid w:val="00EA758F"/>
    <w:rsid w:val="00ED4A6F"/>
    <w:rsid w:val="00EF3A3A"/>
    <w:rsid w:val="00F628D6"/>
    <w:rsid w:val="00F67051"/>
    <w:rsid w:val="00F86A1E"/>
    <w:rsid w:val="00F968A9"/>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B8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1B88"/>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1B88"/>
    <w:rPr>
      <w:sz w:val="36"/>
      <w:szCs w:val="52"/>
    </w:rPr>
  </w:style>
  <w:style w:type="paragraph" w:customStyle="1" w:styleId="Cover3-Haknesset">
    <w:name w:val="Cover 3-Haknesset"/>
    <w:basedOn w:val="Cover1-Reshumot"/>
    <w:rsid w:val="00B91B88"/>
    <w:rPr>
      <w:b/>
      <w:bCs/>
      <w:spacing w:val="60"/>
    </w:rPr>
  </w:style>
  <w:style w:type="paragraph" w:customStyle="1" w:styleId="Cover4-Date">
    <w:name w:val="Cover 4-Date"/>
    <w:basedOn w:val="a"/>
    <w:rsid w:val="00B91B88"/>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1B88"/>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1B88"/>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1B88"/>
    <w:pPr>
      <w:spacing w:before="120" w:after="120"/>
    </w:pPr>
    <w:rPr>
      <w:color w:val="FF0000"/>
      <w:w w:val="80"/>
    </w:rPr>
  </w:style>
  <w:style w:type="paragraph" w:styleId="a3">
    <w:name w:val="endnote text"/>
    <w:basedOn w:val="a"/>
    <w:semiHidden/>
    <w:rsid w:val="00B91B88"/>
    <w:pPr>
      <w:ind w:left="227" w:hanging="227"/>
    </w:pPr>
    <w:rPr>
      <w:sz w:val="14"/>
      <w:szCs w:val="22"/>
    </w:rPr>
  </w:style>
  <w:style w:type="paragraph" w:customStyle="1" w:styleId="TableText">
    <w:name w:val="Table Text"/>
    <w:basedOn w:val="a"/>
    <w:rsid w:val="00B91B88"/>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1B88"/>
  </w:style>
  <w:style w:type="paragraph" w:customStyle="1" w:styleId="TableBlock">
    <w:name w:val="Table Block"/>
    <w:basedOn w:val="TableText"/>
    <w:rsid w:val="00B91B88"/>
    <w:pPr>
      <w:ind w:right="0"/>
      <w:jc w:val="both"/>
    </w:pPr>
  </w:style>
  <w:style w:type="paragraph" w:customStyle="1" w:styleId="TableHead">
    <w:name w:val="Table Head"/>
    <w:basedOn w:val="TableText"/>
    <w:rsid w:val="00B91B88"/>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1B88"/>
  </w:style>
  <w:style w:type="paragraph" w:customStyle="1" w:styleId="Hesber">
    <w:name w:val="Hesber"/>
    <w:basedOn w:val="a"/>
    <w:rsid w:val="00B91B88"/>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1B88"/>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1B88"/>
    <w:rPr>
      <w:vertAlign w:val="superscript"/>
    </w:rPr>
  </w:style>
  <w:style w:type="paragraph" w:customStyle="1" w:styleId="HesberHeading">
    <w:name w:val="Hesber Heading"/>
    <w:basedOn w:val="Hesber"/>
    <w:rsid w:val="00B91B88"/>
    <w:pPr>
      <w:tabs>
        <w:tab w:val="left" w:pos="624"/>
        <w:tab w:val="left" w:pos="1247"/>
      </w:tabs>
      <w:ind w:firstLine="0"/>
    </w:pPr>
    <w:rPr>
      <w:b/>
      <w:bCs/>
    </w:rPr>
  </w:style>
  <w:style w:type="paragraph" w:customStyle="1" w:styleId="HesberWriters">
    <w:name w:val="Hesber Writers"/>
    <w:basedOn w:val="Hesber"/>
    <w:rsid w:val="00B91B88"/>
    <w:pPr>
      <w:spacing w:before="120" w:after="6000"/>
      <w:ind w:left="1418" w:firstLine="0"/>
      <w:jc w:val="right"/>
    </w:pPr>
    <w:rPr>
      <w:b/>
      <w:bCs/>
    </w:rPr>
  </w:style>
  <w:style w:type="paragraph" w:customStyle="1" w:styleId="Hesber1st">
    <w:name w:val="Hesber 1st"/>
    <w:basedOn w:val="Hesber"/>
    <w:rsid w:val="00B91B88"/>
    <w:pPr>
      <w:tabs>
        <w:tab w:val="left" w:pos="680"/>
        <w:tab w:val="left" w:pos="1020"/>
      </w:tabs>
      <w:ind w:firstLine="0"/>
    </w:pPr>
  </w:style>
  <w:style w:type="character" w:styleId="a6">
    <w:name w:val="endnote reference"/>
    <w:basedOn w:val="a0"/>
    <w:semiHidden/>
    <w:rsid w:val="00B91B88"/>
    <w:rPr>
      <w:vertAlign w:val="superscript"/>
    </w:rPr>
  </w:style>
  <w:style w:type="paragraph" w:customStyle="1" w:styleId="TableBlockOutdent">
    <w:name w:val="Table BlockOutdent"/>
    <w:basedOn w:val="TableBlock"/>
    <w:rsid w:val="00B91B88"/>
    <w:pPr>
      <w:ind w:left="624" w:hanging="624"/>
    </w:pPr>
  </w:style>
  <w:style w:type="paragraph" w:styleId="a7">
    <w:name w:val="header"/>
    <w:basedOn w:val="a"/>
    <w:rsid w:val="00B91B88"/>
    <w:pPr>
      <w:tabs>
        <w:tab w:val="center" w:pos="4153"/>
        <w:tab w:val="right" w:pos="8306"/>
      </w:tabs>
    </w:pPr>
  </w:style>
  <w:style w:type="paragraph" w:styleId="a8">
    <w:name w:val="footer"/>
    <w:basedOn w:val="a"/>
    <w:rsid w:val="00B91B88"/>
    <w:pPr>
      <w:tabs>
        <w:tab w:val="center" w:pos="4153"/>
        <w:tab w:val="right" w:pos="8306"/>
      </w:tabs>
    </w:pPr>
  </w:style>
  <w:style w:type="paragraph" w:customStyle="1" w:styleId="HeadDivreiHesber">
    <w:name w:val="Head DivreiHesber"/>
    <w:basedOn w:val="a"/>
    <w:rsid w:val="00B91B88"/>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1B88"/>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1B8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default">
    <w:name w:val="default"/>
    <w:basedOn w:val="a0"/>
    <w:rsid w:val="001031A1"/>
    <w:rPr>
      <w:rFonts w:ascii="Times New Roman" w:hAnsi="Times New Roman" w:cs="Times New Roman"/>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purl.org/dc/terms/"/>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59A8A267-F568-445A-9FC0-1DD43C5D3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0F6498-B3DC-453A-8A0F-DF615D83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342</Words>
  <Characters>1712</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2017-07-06T11:23:00Z</cp:lastPrinted>
  <dcterms:created xsi:type="dcterms:W3CDTF">2015-04-20T09:58:00Z</dcterms:created>
  <dcterms:modified xsi:type="dcterms:W3CDTF">2017-07-06T11:41:00Z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2018139</vt:r8>
  </property>
</Properties>
</file>