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2019092</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דוד ביטן</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פ/4378/20</w:t>
      </w:r>
      <w:bookmarkEnd w:id="6"/>
    </w:p>
    <w:p w14:paraId="7F6961AD" w14:textId="5B78651C" w:rsidR="00E13C27" w:rsidRPr="00F67051" w:rsidRDefault="00A443CF" w:rsidP="000E475D">
      <w:pPr>
        <w:pStyle w:val="HeadHatzaotHok"/>
        <w:rPr>
          <w:rtl/>
        </w:rPr>
      </w:pPr>
      <w:bookmarkStart w:id="7" w:name="LGS_Subject"/>
      <w:r>
        <w:rPr>
          <w:rFonts w:hint="cs"/>
          <w:rtl/>
        </w:rPr>
        <w:t>הצעת חוק מגבלות על השעיית עובדים בטרם הגשת כתב אישום, התשע"ז</w:t>
      </w:r>
      <w:r w:rsidR="000E475D">
        <w:rPr>
          <w:rFonts w:hint="eastAsia"/>
          <w:rtl/>
        </w:rPr>
        <w:t>–</w:t>
      </w:r>
      <w:r>
        <w:rPr>
          <w:rFonts w:hint="cs"/>
          <w:rtl/>
        </w:rPr>
        <w:t>2017</w:t>
      </w:r>
      <w:bookmarkEnd w:id="7"/>
    </w:p>
    <w:p w14:paraId="4B1F09EB" w14:textId="77777777" w:rsidR="00AB5969" w:rsidRDefault="00AB5969" w:rsidP="00AB5969">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4"/>
        <w:gridCol w:w="6520"/>
      </w:tblGrid>
      <w:tr w:rsidR="00AB5969" w14:paraId="1190D50B" w14:textId="77777777" w:rsidTr="00040342">
        <w:trPr>
          <w:cantSplit/>
        </w:trPr>
        <w:tc>
          <w:tcPr>
            <w:tcW w:w="1870" w:type="dxa"/>
          </w:tcPr>
          <w:p w14:paraId="00CC4DE6" w14:textId="77777777" w:rsidR="00AB5969" w:rsidRDefault="00AB5969" w:rsidP="00040342">
            <w:pPr>
              <w:pStyle w:val="TableSideHeading"/>
              <w:ind w:right="0"/>
              <w:rPr>
                <w:rtl/>
              </w:rPr>
            </w:pPr>
            <w:r w:rsidRPr="00034887">
              <w:rPr>
                <w:rtl/>
              </w:rPr>
              <w:t>מטרת החוק</w:t>
            </w:r>
          </w:p>
          <w:p w14:paraId="38D515A5" w14:textId="77777777" w:rsidR="00AB5969" w:rsidRPr="00034887" w:rsidRDefault="00AB5969" w:rsidP="00040342">
            <w:pPr>
              <w:pStyle w:val="TableSideHeading"/>
              <w:ind w:right="0"/>
            </w:pPr>
          </w:p>
        </w:tc>
        <w:tc>
          <w:tcPr>
            <w:tcW w:w="624" w:type="dxa"/>
          </w:tcPr>
          <w:p w14:paraId="61AC3168" w14:textId="77777777" w:rsidR="00AB5969" w:rsidRDefault="00AB5969" w:rsidP="00040342">
            <w:pPr>
              <w:pStyle w:val="TableText"/>
              <w:keepLines w:val="0"/>
            </w:pPr>
            <w:r w:rsidRPr="007B5371">
              <w:rPr>
                <w:rFonts w:ascii="David" w:hAnsi="David"/>
                <w:sz w:val="24"/>
                <w:szCs w:val="24"/>
                <w:rtl/>
              </w:rPr>
              <w:t>1</w:t>
            </w:r>
            <w:r>
              <w:rPr>
                <w:rFonts w:hint="cs"/>
                <w:rtl/>
              </w:rPr>
              <w:t>.</w:t>
            </w:r>
          </w:p>
        </w:tc>
        <w:tc>
          <w:tcPr>
            <w:tcW w:w="7144" w:type="dxa"/>
            <w:gridSpan w:val="2"/>
          </w:tcPr>
          <w:p w14:paraId="25F05F9D" w14:textId="77777777" w:rsidR="00AB5969" w:rsidRPr="00034887" w:rsidRDefault="00AB5969" w:rsidP="00040342">
            <w:pPr>
              <w:pStyle w:val="TableBlock"/>
            </w:pPr>
            <w:r w:rsidRPr="00034887">
              <w:rPr>
                <w:rtl/>
              </w:rPr>
              <w:t xml:space="preserve">חוק זה מטרתו לאזן בין </w:t>
            </w:r>
            <w:r>
              <w:rPr>
                <w:rFonts w:hint="cs"/>
                <w:rtl/>
              </w:rPr>
              <w:t>רצונו של המעסיק להשעות עובד ממקום עבודתו בשל עבירה חמורה שהוא חשוד בביצועה</w:t>
            </w:r>
            <w:r w:rsidRPr="00034887">
              <w:rPr>
                <w:rtl/>
              </w:rPr>
              <w:t xml:space="preserve"> ובין חזקת החפות העומדת לזכותו של העובד, ההגנה על כבודו, חירותו, שמו הטוב ופרטיותו.</w:t>
            </w:r>
            <w:r w:rsidRPr="00034887">
              <w:t xml:space="preserve">  </w:t>
            </w:r>
          </w:p>
        </w:tc>
      </w:tr>
      <w:tr w:rsidR="00AB5969" w14:paraId="0EE9C563" w14:textId="77777777" w:rsidTr="00040342">
        <w:trPr>
          <w:cantSplit/>
        </w:trPr>
        <w:tc>
          <w:tcPr>
            <w:tcW w:w="1870" w:type="dxa"/>
          </w:tcPr>
          <w:p w14:paraId="7C49B3A6" w14:textId="77777777" w:rsidR="00AB5969" w:rsidRPr="00034887" w:rsidRDefault="00AB5969" w:rsidP="00040342">
            <w:pPr>
              <w:pStyle w:val="TableSideHeading"/>
              <w:ind w:right="0"/>
              <w:rPr>
                <w:rtl/>
              </w:rPr>
            </w:pPr>
            <w:r>
              <w:rPr>
                <w:rFonts w:hint="cs"/>
                <w:rtl/>
              </w:rPr>
              <w:t>הגדרות</w:t>
            </w:r>
          </w:p>
        </w:tc>
        <w:tc>
          <w:tcPr>
            <w:tcW w:w="624" w:type="dxa"/>
          </w:tcPr>
          <w:p w14:paraId="327DF166" w14:textId="77777777" w:rsidR="00AB5969" w:rsidRPr="007B5371" w:rsidRDefault="00AB5969" w:rsidP="00040342">
            <w:pPr>
              <w:pStyle w:val="TableText"/>
              <w:keepLines w:val="0"/>
              <w:rPr>
                <w:rFonts w:ascii="David" w:hAnsi="David"/>
                <w:sz w:val="24"/>
                <w:szCs w:val="24"/>
                <w:rtl/>
              </w:rPr>
            </w:pPr>
            <w:r>
              <w:rPr>
                <w:rFonts w:ascii="David" w:hAnsi="David" w:hint="cs"/>
                <w:sz w:val="24"/>
                <w:szCs w:val="24"/>
                <w:rtl/>
              </w:rPr>
              <w:t>2.</w:t>
            </w:r>
          </w:p>
        </w:tc>
        <w:tc>
          <w:tcPr>
            <w:tcW w:w="7144" w:type="dxa"/>
            <w:gridSpan w:val="2"/>
          </w:tcPr>
          <w:p w14:paraId="24A2A6E8" w14:textId="6F905416" w:rsidR="00AB5969" w:rsidRPr="00034887" w:rsidRDefault="00AB5969" w:rsidP="000E475D">
            <w:pPr>
              <w:pStyle w:val="TableBlock"/>
              <w:rPr>
                <w:rtl/>
              </w:rPr>
            </w:pPr>
            <w:r>
              <w:rPr>
                <w:rFonts w:hint="cs"/>
                <w:rtl/>
              </w:rPr>
              <w:t>בחוק זה</w:t>
            </w:r>
            <w:r w:rsidR="000E475D">
              <w:rPr>
                <w:rFonts w:hint="cs"/>
                <w:rtl/>
              </w:rPr>
              <w:t xml:space="preserve"> </w:t>
            </w:r>
            <w:r w:rsidR="000E475D">
              <w:rPr>
                <w:rFonts w:hint="eastAsia"/>
                <w:rtl/>
              </w:rPr>
              <w:t>–</w:t>
            </w:r>
            <w:r w:rsidR="000E475D">
              <w:rPr>
                <w:rFonts w:hint="cs"/>
                <w:rtl/>
              </w:rPr>
              <w:t xml:space="preserve"> </w:t>
            </w:r>
          </w:p>
        </w:tc>
      </w:tr>
      <w:tr w:rsidR="000E475D" w14:paraId="7F1E946B" w14:textId="77777777" w:rsidTr="00040342">
        <w:trPr>
          <w:cantSplit/>
        </w:trPr>
        <w:tc>
          <w:tcPr>
            <w:tcW w:w="1870" w:type="dxa"/>
          </w:tcPr>
          <w:p w14:paraId="2417E678" w14:textId="77777777" w:rsidR="000E475D" w:rsidRDefault="000E475D" w:rsidP="00040342">
            <w:pPr>
              <w:pStyle w:val="TableSideHeading"/>
              <w:ind w:right="0"/>
              <w:rPr>
                <w:rtl/>
              </w:rPr>
            </w:pPr>
          </w:p>
        </w:tc>
        <w:tc>
          <w:tcPr>
            <w:tcW w:w="624" w:type="dxa"/>
          </w:tcPr>
          <w:p w14:paraId="43F14E9A" w14:textId="77777777" w:rsidR="000E475D" w:rsidRDefault="000E475D" w:rsidP="00040342">
            <w:pPr>
              <w:pStyle w:val="TableText"/>
              <w:keepLines w:val="0"/>
              <w:rPr>
                <w:rFonts w:ascii="David" w:hAnsi="David"/>
                <w:sz w:val="24"/>
                <w:szCs w:val="24"/>
                <w:rtl/>
              </w:rPr>
            </w:pPr>
          </w:p>
        </w:tc>
        <w:tc>
          <w:tcPr>
            <w:tcW w:w="7144" w:type="dxa"/>
            <w:gridSpan w:val="2"/>
          </w:tcPr>
          <w:p w14:paraId="1B614EF4" w14:textId="7171D09E" w:rsidR="000E475D" w:rsidRPr="000E475D" w:rsidRDefault="000E475D" w:rsidP="00953D5C">
            <w:pPr>
              <w:pStyle w:val="TableBlockOutdent"/>
              <w:rPr>
                <w:rtl/>
              </w:rPr>
            </w:pPr>
            <w:r w:rsidRPr="000E475D">
              <w:rPr>
                <w:rtl/>
              </w:rPr>
              <w:t xml:space="preserve">"השעיה" – התליית יחסי העבודה </w:t>
            </w:r>
            <w:r w:rsidRPr="000E475D">
              <w:rPr>
                <w:rFonts w:hint="cs"/>
                <w:rtl/>
              </w:rPr>
              <w:t>מקום בו קבועה אפשרות זו בהסכם קיבוצי, צו הרחבה או חוזה עבודה</w:t>
            </w:r>
            <w:r w:rsidR="00953D5C">
              <w:rPr>
                <w:rFonts w:hint="cs"/>
                <w:rtl/>
              </w:rPr>
              <w:t>;</w:t>
            </w:r>
          </w:p>
        </w:tc>
      </w:tr>
      <w:tr w:rsidR="000E475D" w14:paraId="61019C76" w14:textId="77777777" w:rsidTr="00040342">
        <w:trPr>
          <w:cantSplit/>
        </w:trPr>
        <w:tc>
          <w:tcPr>
            <w:tcW w:w="1870" w:type="dxa"/>
          </w:tcPr>
          <w:p w14:paraId="096C05F3" w14:textId="77777777" w:rsidR="000E475D" w:rsidRDefault="000E475D" w:rsidP="00040342">
            <w:pPr>
              <w:pStyle w:val="TableSideHeading"/>
              <w:ind w:right="0"/>
              <w:rPr>
                <w:rtl/>
              </w:rPr>
            </w:pPr>
          </w:p>
        </w:tc>
        <w:tc>
          <w:tcPr>
            <w:tcW w:w="624" w:type="dxa"/>
          </w:tcPr>
          <w:p w14:paraId="102CFA5F" w14:textId="77777777" w:rsidR="000E475D" w:rsidRDefault="000E475D" w:rsidP="00040342">
            <w:pPr>
              <w:pStyle w:val="TableText"/>
              <w:keepLines w:val="0"/>
              <w:rPr>
                <w:rFonts w:ascii="David" w:hAnsi="David"/>
                <w:sz w:val="24"/>
                <w:szCs w:val="24"/>
                <w:rtl/>
              </w:rPr>
            </w:pPr>
          </w:p>
        </w:tc>
        <w:tc>
          <w:tcPr>
            <w:tcW w:w="7144" w:type="dxa"/>
            <w:gridSpan w:val="2"/>
          </w:tcPr>
          <w:p w14:paraId="288DBFBE" w14:textId="4FB0F489" w:rsidR="000E475D" w:rsidRPr="000E475D" w:rsidRDefault="000E475D" w:rsidP="00477768">
            <w:pPr>
              <w:pStyle w:val="TableBlockOutdent"/>
              <w:rPr>
                <w:rtl/>
              </w:rPr>
            </w:pPr>
            <w:r w:rsidRPr="000E475D">
              <w:rPr>
                <w:rFonts w:hint="cs"/>
                <w:rtl/>
              </w:rPr>
              <w:t>"</w:t>
            </w:r>
            <w:r w:rsidR="00391EF4">
              <w:rPr>
                <w:rFonts w:hint="cs"/>
                <w:rtl/>
              </w:rPr>
              <w:t xml:space="preserve">עובד </w:t>
            </w:r>
            <w:r w:rsidR="00477768">
              <w:rPr>
                <w:rFonts w:hint="cs"/>
                <w:rtl/>
              </w:rPr>
              <w:t>ב</w:t>
            </w:r>
            <w:r w:rsidRPr="000E475D">
              <w:rPr>
                <w:rFonts w:hint="cs"/>
                <w:rtl/>
              </w:rPr>
              <w:t xml:space="preserve">גוף ציבורי" </w:t>
            </w:r>
            <w:r w:rsidRPr="000E475D">
              <w:rPr>
                <w:rtl/>
              </w:rPr>
              <w:t>–</w:t>
            </w:r>
            <w:r w:rsidR="00477768">
              <w:rPr>
                <w:rFonts w:hint="cs"/>
                <w:rtl/>
              </w:rPr>
              <w:t xml:space="preserve"> למעט</w:t>
            </w:r>
            <w:r w:rsidRPr="000E475D">
              <w:rPr>
                <w:rFonts w:hint="cs"/>
                <w:rtl/>
              </w:rPr>
              <w:t xml:space="preserve"> </w:t>
            </w:r>
            <w:r w:rsidR="00391EF4">
              <w:rPr>
                <w:rFonts w:hint="cs"/>
                <w:rtl/>
              </w:rPr>
              <w:t xml:space="preserve">עובד </w:t>
            </w:r>
            <w:r w:rsidR="00477768">
              <w:rPr>
                <w:rFonts w:hint="cs"/>
                <w:rtl/>
              </w:rPr>
              <w:t xml:space="preserve">שחל עליו </w:t>
            </w:r>
            <w:r w:rsidRPr="000E475D">
              <w:rPr>
                <w:rFonts w:hint="cs"/>
                <w:rtl/>
              </w:rPr>
              <w:t>חוק שירות המדינה (משמעת), התשכ"ג</w:t>
            </w:r>
            <w:r w:rsidRPr="000E475D">
              <w:rPr>
                <w:rFonts w:hint="eastAsia"/>
                <w:rtl/>
              </w:rPr>
              <w:t>–</w:t>
            </w:r>
            <w:r w:rsidRPr="000E475D">
              <w:rPr>
                <w:rFonts w:hint="cs"/>
                <w:rtl/>
              </w:rPr>
              <w:t>1963</w:t>
            </w:r>
            <w:r w:rsidRPr="00F93EFD">
              <w:rPr>
                <w:sz w:val="14"/>
                <w:szCs w:val="20"/>
                <w:rtl/>
              </w:rPr>
              <w:footnoteReference w:id="2"/>
            </w:r>
            <w:r w:rsidR="00477768">
              <w:rPr>
                <w:rFonts w:hint="cs"/>
                <w:rtl/>
              </w:rPr>
              <w:t>.</w:t>
            </w:r>
          </w:p>
        </w:tc>
      </w:tr>
      <w:tr w:rsidR="00AB5969" w14:paraId="03DB9B3D" w14:textId="77777777" w:rsidTr="00040342">
        <w:trPr>
          <w:cantSplit/>
        </w:trPr>
        <w:tc>
          <w:tcPr>
            <w:tcW w:w="1870" w:type="dxa"/>
          </w:tcPr>
          <w:p w14:paraId="394615CC" w14:textId="0EF6B90C" w:rsidR="00AB5969" w:rsidRDefault="00AB5969" w:rsidP="000E475D">
            <w:pPr>
              <w:pStyle w:val="TableSideHeading"/>
              <w:ind w:right="0"/>
              <w:rPr>
                <w:rtl/>
              </w:rPr>
            </w:pPr>
            <w:r w:rsidRPr="00034887">
              <w:rPr>
                <w:rtl/>
              </w:rPr>
              <w:t xml:space="preserve">השעיית עובד </w:t>
            </w:r>
            <w:r w:rsidR="000E475D">
              <w:rPr>
                <w:rFonts w:hint="cs"/>
                <w:rtl/>
              </w:rPr>
              <w:t>בשל הליכים פליליים</w:t>
            </w:r>
          </w:p>
        </w:tc>
        <w:tc>
          <w:tcPr>
            <w:tcW w:w="624" w:type="dxa"/>
          </w:tcPr>
          <w:p w14:paraId="50BEFABD" w14:textId="77777777" w:rsidR="00AB5969" w:rsidRPr="007B5371" w:rsidRDefault="00AB5969" w:rsidP="00040342">
            <w:pPr>
              <w:pStyle w:val="TableText"/>
              <w:keepLines w:val="0"/>
              <w:rPr>
                <w:rFonts w:ascii="David" w:hAnsi="David"/>
                <w:sz w:val="24"/>
                <w:szCs w:val="24"/>
                <w:rtl/>
              </w:rPr>
            </w:pPr>
            <w:r>
              <w:rPr>
                <w:rFonts w:ascii="David" w:hAnsi="David" w:hint="cs"/>
                <w:sz w:val="24"/>
                <w:szCs w:val="24"/>
                <w:rtl/>
              </w:rPr>
              <w:t>3.</w:t>
            </w:r>
          </w:p>
        </w:tc>
        <w:tc>
          <w:tcPr>
            <w:tcW w:w="7144" w:type="dxa"/>
            <w:gridSpan w:val="2"/>
          </w:tcPr>
          <w:p w14:paraId="49A61760" w14:textId="31741A28" w:rsidR="00AB5969" w:rsidRDefault="00AB5969" w:rsidP="00391EF4">
            <w:pPr>
              <w:pStyle w:val="TableBlock"/>
              <w:rPr>
                <w:rtl/>
              </w:rPr>
            </w:pPr>
            <w:r>
              <w:rPr>
                <w:rFonts w:hint="cs"/>
                <w:rtl/>
              </w:rPr>
              <w:t xml:space="preserve">(א) </w:t>
            </w:r>
            <w:r>
              <w:rPr>
                <w:rtl/>
              </w:rPr>
              <w:tab/>
            </w:r>
            <w:r>
              <w:rPr>
                <w:rFonts w:hint="cs"/>
                <w:rtl/>
              </w:rPr>
              <w:t xml:space="preserve">על אף האמור בכל הסכם קיבוצי, צו הרחבה או חוזה עבודה החלים על עובד, </w:t>
            </w:r>
            <w:r w:rsidR="000E475D">
              <w:rPr>
                <w:rFonts w:hint="cs"/>
                <w:rtl/>
              </w:rPr>
              <w:t>לא יושעה עובד בגוף ציבורי</w:t>
            </w:r>
            <w:r w:rsidR="00391EF4">
              <w:rPr>
                <w:rFonts w:hint="cs"/>
                <w:rtl/>
              </w:rPr>
              <w:t xml:space="preserve"> (להלן </w:t>
            </w:r>
            <w:r w:rsidR="00391EF4">
              <w:rPr>
                <w:rFonts w:hint="eastAsia"/>
                <w:rtl/>
              </w:rPr>
              <w:t>–</w:t>
            </w:r>
            <w:r w:rsidR="00391EF4">
              <w:rPr>
                <w:rFonts w:hint="cs"/>
                <w:rtl/>
              </w:rPr>
              <w:t xml:space="preserve"> עובד)</w:t>
            </w:r>
            <w:r w:rsidR="000E475D">
              <w:rPr>
                <w:rFonts w:hint="cs"/>
                <w:rtl/>
              </w:rPr>
              <w:t xml:space="preserve"> בשל חקירה פלילית נגדו, בטרם הוגש כתב אישום, אלא לתקופה שאינה עולה על 45 ימים.</w:t>
            </w:r>
            <w:r>
              <w:rPr>
                <w:rFonts w:hint="cs"/>
                <w:rtl/>
              </w:rPr>
              <w:t xml:space="preserve"> </w:t>
            </w:r>
          </w:p>
        </w:tc>
      </w:tr>
      <w:tr w:rsidR="00AB5969" w14:paraId="528D5684" w14:textId="77777777" w:rsidTr="00040342">
        <w:trPr>
          <w:cantSplit/>
        </w:trPr>
        <w:tc>
          <w:tcPr>
            <w:tcW w:w="1870" w:type="dxa"/>
          </w:tcPr>
          <w:p w14:paraId="1ADF3314" w14:textId="77777777" w:rsidR="00AB5969" w:rsidRPr="00034887" w:rsidRDefault="00AB5969" w:rsidP="00040342">
            <w:pPr>
              <w:pStyle w:val="TableSideHeading"/>
            </w:pPr>
          </w:p>
        </w:tc>
        <w:tc>
          <w:tcPr>
            <w:tcW w:w="624" w:type="dxa"/>
          </w:tcPr>
          <w:p w14:paraId="7FB7376A" w14:textId="77777777" w:rsidR="00AB5969" w:rsidRPr="00034887" w:rsidRDefault="00AB5969" w:rsidP="00040342">
            <w:pPr>
              <w:pStyle w:val="TableText"/>
              <w:ind w:right="0"/>
              <w:jc w:val="both"/>
            </w:pPr>
          </w:p>
        </w:tc>
        <w:tc>
          <w:tcPr>
            <w:tcW w:w="7144" w:type="dxa"/>
            <w:gridSpan w:val="2"/>
          </w:tcPr>
          <w:p w14:paraId="32D5E3B5" w14:textId="77777777" w:rsidR="00AB5969" w:rsidRPr="00034887" w:rsidRDefault="00AB5969" w:rsidP="00040342">
            <w:pPr>
              <w:pStyle w:val="TableBlock"/>
            </w:pPr>
            <w:r>
              <w:rPr>
                <w:rFonts w:hint="cs"/>
                <w:rtl/>
              </w:rPr>
              <w:t>(ב)</w:t>
            </w:r>
            <w:r>
              <w:rPr>
                <w:rtl/>
              </w:rPr>
              <w:tab/>
            </w:r>
            <w:r w:rsidRPr="00034887">
              <w:rPr>
                <w:rtl/>
              </w:rPr>
              <w:t>הוגש כתב אישום נגד עובד, רשאי מעסיק או גורם מוסמ</w:t>
            </w:r>
            <w:r>
              <w:rPr>
                <w:rtl/>
              </w:rPr>
              <w:t>ך מטעמו להשעות את העובד מעבודתו</w:t>
            </w:r>
            <w:r w:rsidRPr="00034887">
              <w:rPr>
                <w:rtl/>
              </w:rPr>
              <w:t xml:space="preserve"> </w:t>
            </w:r>
            <w:r w:rsidRPr="006009DA">
              <w:rPr>
                <w:rtl/>
              </w:rPr>
              <w:t>אם סבר כי מפאת חומרת האישומים המיוחסים לו בכתב האישום</w:t>
            </w:r>
            <w:r w:rsidRPr="00034887">
              <w:rPr>
                <w:rtl/>
              </w:rPr>
              <w:t xml:space="preserve"> אין הוא ראוי להמשיך </w:t>
            </w:r>
            <w:r>
              <w:rPr>
                <w:rFonts w:hint="cs"/>
                <w:rtl/>
              </w:rPr>
              <w:t>לשמש</w:t>
            </w:r>
            <w:r w:rsidRPr="00034887">
              <w:rPr>
                <w:rtl/>
              </w:rPr>
              <w:t xml:space="preserve"> בתפקידו במקום העבודה</w:t>
            </w:r>
            <w:r>
              <w:rPr>
                <w:rFonts w:hint="cs"/>
                <w:rtl/>
              </w:rPr>
              <w:t>.</w:t>
            </w:r>
            <w:r w:rsidRPr="00034887">
              <w:rPr>
                <w:rtl/>
              </w:rPr>
              <w:t xml:space="preserve"> </w:t>
            </w:r>
          </w:p>
        </w:tc>
      </w:tr>
      <w:tr w:rsidR="00AB5969" w14:paraId="0A759E62" w14:textId="77777777" w:rsidTr="00040342">
        <w:trPr>
          <w:cantSplit/>
        </w:trPr>
        <w:tc>
          <w:tcPr>
            <w:tcW w:w="1870" w:type="dxa"/>
          </w:tcPr>
          <w:p w14:paraId="133CF5E6" w14:textId="77777777" w:rsidR="00AB5969" w:rsidRPr="00034887" w:rsidRDefault="00AB5969" w:rsidP="00040342">
            <w:pPr>
              <w:pStyle w:val="TableSideHeading"/>
            </w:pPr>
          </w:p>
        </w:tc>
        <w:tc>
          <w:tcPr>
            <w:tcW w:w="624" w:type="dxa"/>
          </w:tcPr>
          <w:p w14:paraId="24B23A45" w14:textId="77777777" w:rsidR="00AB5969" w:rsidRDefault="00AB5969" w:rsidP="00040342">
            <w:pPr>
              <w:pStyle w:val="TableText"/>
              <w:rPr>
                <w:rtl/>
              </w:rPr>
            </w:pPr>
          </w:p>
        </w:tc>
        <w:tc>
          <w:tcPr>
            <w:tcW w:w="7144" w:type="dxa"/>
            <w:gridSpan w:val="2"/>
          </w:tcPr>
          <w:p w14:paraId="64722801" w14:textId="77777777" w:rsidR="00AB5969" w:rsidRDefault="00AB5969" w:rsidP="00040342">
            <w:pPr>
              <w:pStyle w:val="TableBlock"/>
              <w:rPr>
                <w:rtl/>
              </w:rPr>
            </w:pPr>
            <w:r>
              <w:rPr>
                <w:rFonts w:hint="cs"/>
                <w:rtl/>
              </w:rPr>
              <w:t>(ג)</w:t>
            </w:r>
            <w:r>
              <w:rPr>
                <w:rtl/>
              </w:rPr>
              <w:tab/>
            </w:r>
            <w:r>
              <w:rPr>
                <w:rFonts w:hint="cs"/>
                <w:rtl/>
              </w:rPr>
              <w:t xml:space="preserve">מעסיק לא ישעה עובד כאמור בסעיף קטן (ב) אלא לאחר שהוצגו בפני העובד הטעמים להשעייתו וניתנה לעובד הזדמנות לטעון את טענותיו לעניין ההשעיה. </w:t>
            </w:r>
          </w:p>
        </w:tc>
      </w:tr>
      <w:tr w:rsidR="00AB5969" w14:paraId="1E8E7260" w14:textId="77777777" w:rsidTr="00040342">
        <w:trPr>
          <w:cantSplit/>
        </w:trPr>
        <w:tc>
          <w:tcPr>
            <w:tcW w:w="1870" w:type="dxa"/>
          </w:tcPr>
          <w:p w14:paraId="5D49DE48" w14:textId="77777777" w:rsidR="00AB5969" w:rsidRPr="00034887" w:rsidRDefault="00AB5969" w:rsidP="00040342">
            <w:pPr>
              <w:pStyle w:val="TableSideHeading"/>
            </w:pPr>
          </w:p>
        </w:tc>
        <w:tc>
          <w:tcPr>
            <w:tcW w:w="624" w:type="dxa"/>
          </w:tcPr>
          <w:p w14:paraId="75E15156" w14:textId="77777777" w:rsidR="00AB5969" w:rsidRPr="00034887" w:rsidRDefault="00AB5969" w:rsidP="00040342">
            <w:pPr>
              <w:pStyle w:val="TableText"/>
              <w:ind w:right="0"/>
              <w:jc w:val="both"/>
            </w:pPr>
          </w:p>
        </w:tc>
        <w:tc>
          <w:tcPr>
            <w:tcW w:w="7144" w:type="dxa"/>
            <w:gridSpan w:val="2"/>
          </w:tcPr>
          <w:p w14:paraId="5FFA40A2" w14:textId="77777777" w:rsidR="00AB5969" w:rsidRPr="00034887" w:rsidRDefault="00AB5969" w:rsidP="00040342">
            <w:pPr>
              <w:pStyle w:val="TableBlock"/>
            </w:pPr>
            <w:r>
              <w:rPr>
                <w:rFonts w:hint="cs"/>
                <w:rtl/>
              </w:rPr>
              <w:t>(ד)</w:t>
            </w:r>
            <w:r>
              <w:rPr>
                <w:rtl/>
              </w:rPr>
              <w:tab/>
            </w:r>
            <w:r w:rsidRPr="00034887">
              <w:rPr>
                <w:rtl/>
              </w:rPr>
              <w:t xml:space="preserve">בעת בחינת החלטה על השעיה כאמור, ישקול המעסיק, בין היתר, </w:t>
            </w:r>
            <w:r>
              <w:rPr>
                <w:rFonts w:hint="cs"/>
                <w:rtl/>
              </w:rPr>
              <w:t>את השיקולים הבאים:</w:t>
            </w:r>
            <w:r w:rsidRPr="00034887">
              <w:rPr>
                <w:rtl/>
              </w:rPr>
              <w:t xml:space="preserve"> </w:t>
            </w:r>
          </w:p>
        </w:tc>
      </w:tr>
      <w:tr w:rsidR="00AB5969" w14:paraId="1DC122CA" w14:textId="77777777" w:rsidTr="00040342">
        <w:trPr>
          <w:cantSplit/>
          <w:trHeight w:val="60"/>
        </w:trPr>
        <w:tc>
          <w:tcPr>
            <w:tcW w:w="1870" w:type="dxa"/>
          </w:tcPr>
          <w:p w14:paraId="59C69973" w14:textId="77777777" w:rsidR="00AB5969" w:rsidRPr="00034887" w:rsidRDefault="00AB5969" w:rsidP="00040342">
            <w:pPr>
              <w:pStyle w:val="TableSideHeading"/>
              <w:ind w:right="0"/>
            </w:pPr>
          </w:p>
        </w:tc>
        <w:tc>
          <w:tcPr>
            <w:tcW w:w="624" w:type="dxa"/>
          </w:tcPr>
          <w:p w14:paraId="32F9C30B" w14:textId="77777777" w:rsidR="00AB5969" w:rsidRDefault="00AB5969" w:rsidP="00040342">
            <w:pPr>
              <w:pStyle w:val="TableText"/>
              <w:ind w:right="0"/>
              <w:jc w:val="both"/>
            </w:pPr>
          </w:p>
        </w:tc>
        <w:tc>
          <w:tcPr>
            <w:tcW w:w="624" w:type="dxa"/>
          </w:tcPr>
          <w:p w14:paraId="32BC56E9" w14:textId="77777777" w:rsidR="00AB5969" w:rsidRDefault="00AB5969" w:rsidP="00040342">
            <w:pPr>
              <w:pStyle w:val="TableBlock"/>
            </w:pPr>
          </w:p>
        </w:tc>
        <w:tc>
          <w:tcPr>
            <w:tcW w:w="6520" w:type="dxa"/>
          </w:tcPr>
          <w:p w14:paraId="7E5F0148" w14:textId="77777777" w:rsidR="00AB5969" w:rsidRDefault="00AB5969" w:rsidP="00040342">
            <w:pPr>
              <w:pStyle w:val="TableText"/>
              <w:ind w:right="0"/>
              <w:jc w:val="both"/>
            </w:pPr>
            <w:r w:rsidRPr="00034887">
              <w:rPr>
                <w:rtl/>
              </w:rPr>
              <w:t>(1)</w:t>
            </w:r>
            <w:r w:rsidRPr="00034887">
              <w:rPr>
                <w:rtl/>
              </w:rPr>
              <w:tab/>
              <w:t>העבירות המיוחסות לעובד בכתב האישום, נסיבותיהן, היקפן והתמשכותן;</w:t>
            </w:r>
          </w:p>
        </w:tc>
      </w:tr>
      <w:tr w:rsidR="00AB5969" w14:paraId="2B80B2A0" w14:textId="77777777" w:rsidTr="00040342">
        <w:trPr>
          <w:cantSplit/>
          <w:trHeight w:val="60"/>
        </w:trPr>
        <w:tc>
          <w:tcPr>
            <w:tcW w:w="1870" w:type="dxa"/>
          </w:tcPr>
          <w:p w14:paraId="15606E23" w14:textId="77777777" w:rsidR="00AB5969" w:rsidRPr="00034887" w:rsidRDefault="00AB5969" w:rsidP="00040342">
            <w:pPr>
              <w:pStyle w:val="TableSideHeading"/>
              <w:ind w:right="0"/>
              <w:rPr>
                <w:rtl/>
              </w:rPr>
            </w:pPr>
          </w:p>
        </w:tc>
        <w:tc>
          <w:tcPr>
            <w:tcW w:w="624" w:type="dxa"/>
          </w:tcPr>
          <w:p w14:paraId="2F6DE485" w14:textId="77777777" w:rsidR="00AB5969" w:rsidRDefault="00AB5969" w:rsidP="00040342">
            <w:pPr>
              <w:pStyle w:val="TableText"/>
              <w:ind w:right="0"/>
              <w:jc w:val="both"/>
            </w:pPr>
          </w:p>
        </w:tc>
        <w:tc>
          <w:tcPr>
            <w:tcW w:w="624" w:type="dxa"/>
          </w:tcPr>
          <w:p w14:paraId="25E497D0" w14:textId="77777777" w:rsidR="00AB5969" w:rsidRPr="004E3FFC" w:rsidRDefault="00AB5969" w:rsidP="00040342">
            <w:pPr>
              <w:pStyle w:val="TableText"/>
              <w:ind w:right="0"/>
              <w:jc w:val="both"/>
              <w:rPr>
                <w:rtl/>
              </w:rPr>
            </w:pPr>
          </w:p>
        </w:tc>
        <w:tc>
          <w:tcPr>
            <w:tcW w:w="6520" w:type="dxa"/>
          </w:tcPr>
          <w:p w14:paraId="4DA0C3B4" w14:textId="77777777" w:rsidR="00AB5969" w:rsidRPr="004E3FFC" w:rsidRDefault="00AB5969" w:rsidP="00040342">
            <w:pPr>
              <w:pStyle w:val="TableBlock"/>
              <w:rPr>
                <w:rtl/>
              </w:rPr>
            </w:pPr>
            <w:r w:rsidRPr="00034887">
              <w:rPr>
                <w:rtl/>
              </w:rPr>
              <w:t>(2)</w:t>
            </w:r>
            <w:r w:rsidRPr="00034887">
              <w:rPr>
                <w:rtl/>
              </w:rPr>
              <w:tab/>
              <w:t>מספר ה</w:t>
            </w:r>
            <w:r>
              <w:rPr>
                <w:rFonts w:hint="cs"/>
                <w:rtl/>
              </w:rPr>
              <w:t xml:space="preserve">עבירות </w:t>
            </w:r>
            <w:r w:rsidRPr="00034887">
              <w:rPr>
                <w:rtl/>
              </w:rPr>
              <w:t>המיוחסות לעובד בכתב האישום;</w:t>
            </w:r>
          </w:p>
        </w:tc>
      </w:tr>
      <w:tr w:rsidR="00AB5969" w14:paraId="7FC69F71" w14:textId="77777777" w:rsidTr="00040342">
        <w:trPr>
          <w:cantSplit/>
          <w:trHeight w:val="60"/>
        </w:trPr>
        <w:tc>
          <w:tcPr>
            <w:tcW w:w="1870" w:type="dxa"/>
          </w:tcPr>
          <w:p w14:paraId="03515CA0" w14:textId="77777777" w:rsidR="00AB5969" w:rsidRPr="00034887" w:rsidRDefault="00AB5969" w:rsidP="00040342">
            <w:pPr>
              <w:pStyle w:val="TableSideHeading"/>
              <w:ind w:right="0"/>
              <w:rPr>
                <w:rtl/>
              </w:rPr>
            </w:pPr>
          </w:p>
        </w:tc>
        <w:tc>
          <w:tcPr>
            <w:tcW w:w="624" w:type="dxa"/>
          </w:tcPr>
          <w:p w14:paraId="635B17F3" w14:textId="77777777" w:rsidR="00AB5969" w:rsidRDefault="00AB5969" w:rsidP="00040342">
            <w:pPr>
              <w:pStyle w:val="TableText"/>
              <w:ind w:right="0"/>
              <w:jc w:val="both"/>
            </w:pPr>
          </w:p>
        </w:tc>
        <w:tc>
          <w:tcPr>
            <w:tcW w:w="624" w:type="dxa"/>
          </w:tcPr>
          <w:p w14:paraId="38B2BD77" w14:textId="77777777" w:rsidR="00AB5969" w:rsidRPr="004E3FFC" w:rsidRDefault="00AB5969" w:rsidP="00040342">
            <w:pPr>
              <w:pStyle w:val="TableText"/>
              <w:ind w:right="0"/>
              <w:jc w:val="both"/>
              <w:rPr>
                <w:rtl/>
              </w:rPr>
            </w:pPr>
          </w:p>
        </w:tc>
        <w:tc>
          <w:tcPr>
            <w:tcW w:w="6520" w:type="dxa"/>
          </w:tcPr>
          <w:p w14:paraId="3C1B5632" w14:textId="77777777" w:rsidR="00AB5969" w:rsidRPr="004E3FFC" w:rsidRDefault="00AB5969" w:rsidP="00040342">
            <w:pPr>
              <w:pStyle w:val="TableBlock"/>
              <w:rPr>
                <w:rtl/>
              </w:rPr>
            </w:pPr>
            <w:r>
              <w:rPr>
                <w:rtl/>
              </w:rPr>
              <w:t>(3)</w:t>
            </w:r>
            <w:r>
              <w:rPr>
                <w:rtl/>
              </w:rPr>
              <w:tab/>
            </w:r>
            <w:r w:rsidRPr="00034887">
              <w:rPr>
                <w:rtl/>
              </w:rPr>
              <w:t>הזיקה בין האישומים המיוחסים לעובד בכתב האישום ובין סמכויותיו ותפקידיו כעובד במקום העבודה;</w:t>
            </w:r>
          </w:p>
        </w:tc>
      </w:tr>
      <w:tr w:rsidR="00AB5969" w14:paraId="59D5D64F" w14:textId="77777777" w:rsidTr="00040342">
        <w:trPr>
          <w:cantSplit/>
          <w:trHeight w:val="60"/>
        </w:trPr>
        <w:tc>
          <w:tcPr>
            <w:tcW w:w="1870" w:type="dxa"/>
          </w:tcPr>
          <w:p w14:paraId="01DFA5BF" w14:textId="77777777" w:rsidR="00AB5969" w:rsidRPr="00034887" w:rsidRDefault="00AB5969" w:rsidP="00040342">
            <w:pPr>
              <w:pStyle w:val="TableSideHeading"/>
              <w:ind w:right="0"/>
              <w:rPr>
                <w:rtl/>
              </w:rPr>
            </w:pPr>
          </w:p>
        </w:tc>
        <w:tc>
          <w:tcPr>
            <w:tcW w:w="624" w:type="dxa"/>
          </w:tcPr>
          <w:p w14:paraId="7BE62EE1" w14:textId="77777777" w:rsidR="00AB5969" w:rsidRDefault="00AB5969" w:rsidP="00040342">
            <w:pPr>
              <w:pStyle w:val="TableText"/>
              <w:ind w:right="0"/>
              <w:jc w:val="both"/>
            </w:pPr>
          </w:p>
        </w:tc>
        <w:tc>
          <w:tcPr>
            <w:tcW w:w="624" w:type="dxa"/>
          </w:tcPr>
          <w:p w14:paraId="48A16B2C" w14:textId="77777777" w:rsidR="00AB5969" w:rsidRDefault="00AB5969" w:rsidP="00040342">
            <w:pPr>
              <w:pStyle w:val="TableBlock"/>
              <w:rPr>
                <w:rtl/>
              </w:rPr>
            </w:pPr>
          </w:p>
        </w:tc>
        <w:tc>
          <w:tcPr>
            <w:tcW w:w="6520" w:type="dxa"/>
          </w:tcPr>
          <w:p w14:paraId="73994415" w14:textId="77777777" w:rsidR="00AB5969" w:rsidRDefault="00AB5969" w:rsidP="00040342">
            <w:pPr>
              <w:pStyle w:val="TableText"/>
              <w:ind w:right="0"/>
              <w:jc w:val="both"/>
              <w:rPr>
                <w:rtl/>
              </w:rPr>
            </w:pPr>
            <w:r>
              <w:rPr>
                <w:rtl/>
              </w:rPr>
              <w:t>(4)</w:t>
            </w:r>
            <w:r>
              <w:rPr>
                <w:rtl/>
              </w:rPr>
              <w:tab/>
            </w:r>
            <w:r w:rsidRPr="00034887">
              <w:rPr>
                <w:rtl/>
              </w:rPr>
              <w:t>פרק הזמן שחלף מהמועד שבו בוצעו העבירות המיוחסות לעובד בכתב האישום</w:t>
            </w:r>
            <w:r>
              <w:rPr>
                <w:rFonts w:hint="cs"/>
                <w:rtl/>
              </w:rPr>
              <w:t>;</w:t>
            </w:r>
          </w:p>
        </w:tc>
      </w:tr>
      <w:tr w:rsidR="00AB5969" w14:paraId="49DB9660" w14:textId="77777777" w:rsidTr="00040342">
        <w:trPr>
          <w:cantSplit/>
          <w:trHeight w:val="60"/>
        </w:trPr>
        <w:tc>
          <w:tcPr>
            <w:tcW w:w="1870" w:type="dxa"/>
          </w:tcPr>
          <w:p w14:paraId="7B8B7820" w14:textId="77777777" w:rsidR="00AB5969" w:rsidRPr="00034887" w:rsidRDefault="00AB5969" w:rsidP="00040342">
            <w:pPr>
              <w:pStyle w:val="TableSideHeading"/>
              <w:ind w:right="0"/>
              <w:rPr>
                <w:rtl/>
              </w:rPr>
            </w:pPr>
          </w:p>
        </w:tc>
        <w:tc>
          <w:tcPr>
            <w:tcW w:w="624" w:type="dxa"/>
          </w:tcPr>
          <w:p w14:paraId="308C6541" w14:textId="77777777" w:rsidR="00AB5969" w:rsidRDefault="00AB5969" w:rsidP="00040342">
            <w:pPr>
              <w:pStyle w:val="TableText"/>
              <w:ind w:right="0"/>
              <w:jc w:val="both"/>
            </w:pPr>
          </w:p>
        </w:tc>
        <w:tc>
          <w:tcPr>
            <w:tcW w:w="624" w:type="dxa"/>
          </w:tcPr>
          <w:p w14:paraId="15152B62" w14:textId="77777777" w:rsidR="00AB5969" w:rsidRDefault="00AB5969" w:rsidP="00040342">
            <w:pPr>
              <w:pStyle w:val="TableBlock"/>
              <w:rPr>
                <w:rtl/>
              </w:rPr>
            </w:pPr>
          </w:p>
        </w:tc>
        <w:tc>
          <w:tcPr>
            <w:tcW w:w="6520" w:type="dxa"/>
          </w:tcPr>
          <w:p w14:paraId="682E0DFD" w14:textId="77777777" w:rsidR="00AB5969" w:rsidRDefault="00AB5969" w:rsidP="00040342">
            <w:pPr>
              <w:pStyle w:val="TableText"/>
              <w:ind w:right="0"/>
              <w:jc w:val="both"/>
              <w:rPr>
                <w:rtl/>
              </w:rPr>
            </w:pPr>
            <w:r>
              <w:rPr>
                <w:rtl/>
              </w:rPr>
              <w:t>(5)</w:t>
            </w:r>
            <w:r>
              <w:rPr>
                <w:rtl/>
              </w:rPr>
              <w:tab/>
            </w:r>
            <w:r w:rsidRPr="00034887">
              <w:rPr>
                <w:rtl/>
              </w:rPr>
              <w:t xml:space="preserve">האפשרות שהעובד יחזור </w:t>
            </w:r>
            <w:r>
              <w:rPr>
                <w:rFonts w:hint="cs"/>
                <w:rtl/>
              </w:rPr>
              <w:t xml:space="preserve">לעבודתו </w:t>
            </w:r>
            <w:r w:rsidRPr="00034887">
              <w:rPr>
                <w:rtl/>
              </w:rPr>
              <w:t>בתום תקופת ההשעיה</w:t>
            </w:r>
            <w:r>
              <w:rPr>
                <w:rFonts w:hint="cs"/>
                <w:rtl/>
              </w:rPr>
              <w:t>;</w:t>
            </w:r>
          </w:p>
        </w:tc>
      </w:tr>
      <w:tr w:rsidR="00AB5969" w14:paraId="3048D4D5" w14:textId="77777777" w:rsidTr="00040342">
        <w:trPr>
          <w:cantSplit/>
          <w:trHeight w:val="60"/>
        </w:trPr>
        <w:tc>
          <w:tcPr>
            <w:tcW w:w="1870" w:type="dxa"/>
          </w:tcPr>
          <w:p w14:paraId="0824B732" w14:textId="77777777" w:rsidR="00AB5969" w:rsidRPr="00034887" w:rsidRDefault="00AB5969" w:rsidP="00040342">
            <w:pPr>
              <w:pStyle w:val="TableSideHeading"/>
              <w:ind w:right="0"/>
              <w:rPr>
                <w:rtl/>
              </w:rPr>
            </w:pPr>
          </w:p>
        </w:tc>
        <w:tc>
          <w:tcPr>
            <w:tcW w:w="624" w:type="dxa"/>
          </w:tcPr>
          <w:p w14:paraId="0394B63C" w14:textId="77777777" w:rsidR="00AB5969" w:rsidRDefault="00AB5969" w:rsidP="00040342">
            <w:pPr>
              <w:pStyle w:val="TableText"/>
              <w:ind w:right="0"/>
              <w:jc w:val="both"/>
            </w:pPr>
          </w:p>
        </w:tc>
        <w:tc>
          <w:tcPr>
            <w:tcW w:w="624" w:type="dxa"/>
          </w:tcPr>
          <w:p w14:paraId="7B1FD0B1" w14:textId="77777777" w:rsidR="00AB5969" w:rsidRDefault="00AB5969" w:rsidP="00040342">
            <w:pPr>
              <w:pStyle w:val="TableBlock"/>
              <w:rPr>
                <w:rtl/>
              </w:rPr>
            </w:pPr>
          </w:p>
        </w:tc>
        <w:tc>
          <w:tcPr>
            <w:tcW w:w="6520" w:type="dxa"/>
          </w:tcPr>
          <w:p w14:paraId="0E961FA6" w14:textId="77777777" w:rsidR="00AB5969" w:rsidRDefault="00AB5969" w:rsidP="00040342">
            <w:pPr>
              <w:pStyle w:val="TableText"/>
              <w:ind w:right="0"/>
              <w:jc w:val="both"/>
              <w:rPr>
                <w:rtl/>
              </w:rPr>
            </w:pPr>
            <w:r>
              <w:rPr>
                <w:rFonts w:hint="cs"/>
                <w:rtl/>
              </w:rPr>
              <w:t>(6)</w:t>
            </w:r>
            <w:r>
              <w:rPr>
                <w:rtl/>
              </w:rPr>
              <w:tab/>
            </w:r>
            <w:r>
              <w:rPr>
                <w:rFonts w:hint="cs"/>
                <w:rtl/>
              </w:rPr>
              <w:t>חלופות להשעיית העובד, לרבות האפשרות להעביר את העובד למשרה או לעבודה אחרת במקום העבודה.</w:t>
            </w:r>
          </w:p>
        </w:tc>
      </w:tr>
      <w:tr w:rsidR="00AB5969" w14:paraId="665C2A5A" w14:textId="77777777" w:rsidTr="00040342">
        <w:trPr>
          <w:cantSplit/>
        </w:trPr>
        <w:tc>
          <w:tcPr>
            <w:tcW w:w="1870" w:type="dxa"/>
          </w:tcPr>
          <w:p w14:paraId="7519CBB0" w14:textId="77777777" w:rsidR="00AB5969" w:rsidRDefault="00AB5969" w:rsidP="00040342">
            <w:pPr>
              <w:pStyle w:val="TableSideHeading"/>
              <w:rPr>
                <w:rtl/>
              </w:rPr>
            </w:pPr>
            <w:r w:rsidRPr="00034887">
              <w:rPr>
                <w:rFonts w:hint="cs"/>
                <w:rtl/>
              </w:rPr>
              <w:t>השעי</w:t>
            </w:r>
            <w:r>
              <w:rPr>
                <w:rFonts w:hint="cs"/>
                <w:rtl/>
              </w:rPr>
              <w:t>י</w:t>
            </w:r>
            <w:r w:rsidRPr="00034887">
              <w:rPr>
                <w:rFonts w:hint="cs"/>
                <w:rtl/>
              </w:rPr>
              <w:t>ת עובד ב</w:t>
            </w:r>
            <w:r>
              <w:rPr>
                <w:rFonts w:hint="cs"/>
                <w:rtl/>
              </w:rPr>
              <w:t xml:space="preserve">זמן </w:t>
            </w:r>
            <w:r w:rsidRPr="00034887">
              <w:rPr>
                <w:rFonts w:hint="cs"/>
                <w:rtl/>
              </w:rPr>
              <w:t>חקירה פלילית במקרים חריגים</w:t>
            </w:r>
          </w:p>
          <w:p w14:paraId="79A816BF" w14:textId="77777777" w:rsidR="00AB5969" w:rsidRPr="00034887" w:rsidRDefault="00AB5969" w:rsidP="00040342">
            <w:pPr>
              <w:pStyle w:val="TableSideHeading"/>
              <w:rPr>
                <w:rtl/>
              </w:rPr>
            </w:pPr>
          </w:p>
        </w:tc>
        <w:tc>
          <w:tcPr>
            <w:tcW w:w="624" w:type="dxa"/>
          </w:tcPr>
          <w:p w14:paraId="407D884F" w14:textId="77777777" w:rsidR="00AB5969" w:rsidRDefault="00AB5969" w:rsidP="00040342">
            <w:pPr>
              <w:pStyle w:val="TableText"/>
              <w:keepLines w:val="0"/>
            </w:pPr>
            <w:r>
              <w:rPr>
                <w:rFonts w:ascii="David" w:hAnsi="David" w:hint="cs"/>
                <w:sz w:val="24"/>
                <w:szCs w:val="24"/>
                <w:rtl/>
              </w:rPr>
              <w:t>4</w:t>
            </w:r>
            <w:r w:rsidRPr="007B5371">
              <w:rPr>
                <w:rFonts w:ascii="David" w:hAnsi="David"/>
                <w:sz w:val="24"/>
                <w:szCs w:val="24"/>
                <w:rtl/>
              </w:rPr>
              <w:t>.</w:t>
            </w:r>
          </w:p>
        </w:tc>
        <w:tc>
          <w:tcPr>
            <w:tcW w:w="7144" w:type="dxa"/>
            <w:gridSpan w:val="2"/>
          </w:tcPr>
          <w:p w14:paraId="2AE32055" w14:textId="7F90857C" w:rsidR="00AB5969" w:rsidRPr="00034887" w:rsidRDefault="00AB5969" w:rsidP="00040342">
            <w:pPr>
              <w:pStyle w:val="TableBlock"/>
              <w:rPr>
                <w:rtl/>
              </w:rPr>
            </w:pPr>
            <w:r w:rsidRPr="00034887">
              <w:rPr>
                <w:rFonts w:hint="cs"/>
                <w:rtl/>
              </w:rPr>
              <w:t>(א)</w:t>
            </w:r>
            <w:r>
              <w:rPr>
                <w:rtl/>
              </w:rPr>
              <w:tab/>
            </w:r>
            <w:r w:rsidRPr="00034887">
              <w:rPr>
                <w:rFonts w:hint="cs"/>
                <w:rtl/>
              </w:rPr>
              <w:t xml:space="preserve"> </w:t>
            </w:r>
            <w:r>
              <w:rPr>
                <w:rFonts w:hint="cs"/>
                <w:rtl/>
              </w:rPr>
              <w:t>על אף</w:t>
            </w:r>
            <w:r w:rsidRPr="00034887">
              <w:rPr>
                <w:rtl/>
              </w:rPr>
              <w:t xml:space="preserve"> </w:t>
            </w:r>
            <w:r>
              <w:rPr>
                <w:rtl/>
              </w:rPr>
              <w:t>האמור בסעיף</w:t>
            </w:r>
            <w:r w:rsidRPr="00034887">
              <w:rPr>
                <w:rtl/>
              </w:rPr>
              <w:t xml:space="preserve"> </w:t>
            </w:r>
            <w:r>
              <w:rPr>
                <w:rFonts w:hint="cs"/>
                <w:rtl/>
              </w:rPr>
              <w:t>3(א)</w:t>
            </w:r>
            <w:r w:rsidRPr="00034887">
              <w:rPr>
                <w:rtl/>
              </w:rPr>
              <w:t>,</w:t>
            </w:r>
            <w:r>
              <w:rPr>
                <w:rFonts w:hint="cs"/>
                <w:rtl/>
              </w:rPr>
              <w:t xml:space="preserve"> מעסיק ראשי להשעות עובד שמתנהלת נגדו חקירה פלילית, אף בטרם הוגש נגדו כתב אישום,</w:t>
            </w:r>
            <w:r w:rsidR="000E475D">
              <w:rPr>
                <w:rFonts w:hint="cs"/>
                <w:rtl/>
              </w:rPr>
              <w:t xml:space="preserve"> אף לתקופה העולה על 45 ימים,</w:t>
            </w:r>
            <w:r>
              <w:rPr>
                <w:rFonts w:hint="cs"/>
                <w:rtl/>
              </w:rPr>
              <w:t xml:space="preserve"> </w:t>
            </w:r>
            <w:r w:rsidRPr="00034887">
              <w:rPr>
                <w:rtl/>
              </w:rPr>
              <w:t>במקרים חריגים</w:t>
            </w:r>
            <w:r>
              <w:rPr>
                <w:rFonts w:hint="cs"/>
                <w:rtl/>
              </w:rPr>
              <w:t xml:space="preserve"> ובנסיבות של חשד לביצוע עבירה מסוג פשע שהיא עבירת מין, עבירת אלימות, עבירת גניבה או עבירה של פגיעה בביטחון המדינה, </w:t>
            </w:r>
            <w:r w:rsidRPr="00F63992">
              <w:rPr>
                <w:rFonts w:hint="cs"/>
                <w:rtl/>
              </w:rPr>
              <w:t>וכן</w:t>
            </w:r>
            <w:r w:rsidRPr="00F63992">
              <w:rPr>
                <w:rtl/>
              </w:rPr>
              <w:t xml:space="preserve"> עבירות הקשורות במישרין </w:t>
            </w:r>
            <w:r w:rsidRPr="00F63992">
              <w:rPr>
                <w:rFonts w:hint="cs"/>
                <w:rtl/>
              </w:rPr>
              <w:t>לתפקידו במקום העבודה</w:t>
            </w:r>
            <w:r>
              <w:rPr>
                <w:rFonts w:hint="cs"/>
                <w:rtl/>
              </w:rPr>
              <w:t xml:space="preserve">; על השעיה כאמור יחולו הוראות סעיף 3(ג) ו-(ד), בשינויים המחויבים. </w:t>
            </w:r>
            <w:r w:rsidRPr="00034887">
              <w:rPr>
                <w:rFonts w:hint="cs"/>
                <w:rtl/>
              </w:rPr>
              <w:t xml:space="preserve">  </w:t>
            </w:r>
          </w:p>
        </w:tc>
      </w:tr>
      <w:tr w:rsidR="00AB5969" w14:paraId="78F63307" w14:textId="77777777" w:rsidTr="00040342">
        <w:trPr>
          <w:cantSplit/>
        </w:trPr>
        <w:tc>
          <w:tcPr>
            <w:tcW w:w="1870" w:type="dxa"/>
          </w:tcPr>
          <w:p w14:paraId="78D1B7DA" w14:textId="77777777" w:rsidR="00AB5969" w:rsidRPr="00034887" w:rsidRDefault="00AB5969" w:rsidP="00040342">
            <w:pPr>
              <w:pStyle w:val="TableSideHeading"/>
              <w:rPr>
                <w:rtl/>
              </w:rPr>
            </w:pPr>
          </w:p>
        </w:tc>
        <w:tc>
          <w:tcPr>
            <w:tcW w:w="624" w:type="dxa"/>
          </w:tcPr>
          <w:p w14:paraId="20871B63" w14:textId="77777777" w:rsidR="00AB5969" w:rsidRPr="007B5371" w:rsidRDefault="00AB5969" w:rsidP="00040342">
            <w:pPr>
              <w:pStyle w:val="TableText"/>
              <w:rPr>
                <w:rtl/>
              </w:rPr>
            </w:pPr>
          </w:p>
        </w:tc>
        <w:tc>
          <w:tcPr>
            <w:tcW w:w="7144" w:type="dxa"/>
            <w:gridSpan w:val="2"/>
          </w:tcPr>
          <w:p w14:paraId="7A325BBC" w14:textId="4E1C4D97" w:rsidR="00AB5969" w:rsidRPr="00034887" w:rsidRDefault="00AB5969" w:rsidP="00040342">
            <w:pPr>
              <w:pStyle w:val="TableBlock"/>
              <w:rPr>
                <w:rtl/>
              </w:rPr>
            </w:pPr>
            <w:r w:rsidRPr="00034887">
              <w:rPr>
                <w:rFonts w:hint="cs"/>
                <w:rtl/>
              </w:rPr>
              <w:t>(</w:t>
            </w:r>
            <w:r>
              <w:rPr>
                <w:rFonts w:hint="cs"/>
                <w:rtl/>
              </w:rPr>
              <w:t>ב</w:t>
            </w:r>
            <w:r w:rsidRPr="00034887">
              <w:rPr>
                <w:rFonts w:hint="cs"/>
                <w:rtl/>
              </w:rPr>
              <w:t xml:space="preserve">) </w:t>
            </w:r>
            <w:r>
              <w:rPr>
                <w:rtl/>
              </w:rPr>
              <w:tab/>
            </w:r>
            <w:r>
              <w:rPr>
                <w:rFonts w:hint="cs"/>
                <w:rtl/>
              </w:rPr>
              <w:t>בלי לגרוע מהוראות סעיף</w:t>
            </w:r>
            <w:r w:rsidRPr="00034887">
              <w:rPr>
                <w:rFonts w:hint="cs"/>
                <w:rtl/>
              </w:rPr>
              <w:t xml:space="preserve"> </w:t>
            </w:r>
            <w:r>
              <w:rPr>
                <w:rFonts w:hint="cs"/>
                <w:rtl/>
              </w:rPr>
              <w:t xml:space="preserve">קטן </w:t>
            </w:r>
            <w:r w:rsidRPr="00034887">
              <w:rPr>
                <w:rFonts w:hint="cs"/>
                <w:rtl/>
              </w:rPr>
              <w:t>(א)</w:t>
            </w:r>
            <w:r>
              <w:rPr>
                <w:rFonts w:hint="cs"/>
                <w:rtl/>
              </w:rPr>
              <w:t xml:space="preserve"> ועל אף האמור בסעיף 3(א)</w:t>
            </w:r>
            <w:r w:rsidRPr="00034887">
              <w:rPr>
                <w:rFonts w:hint="cs"/>
                <w:rtl/>
              </w:rPr>
              <w:t xml:space="preserve">, </w:t>
            </w:r>
            <w:r>
              <w:rPr>
                <w:rFonts w:hint="cs"/>
                <w:rtl/>
              </w:rPr>
              <w:t xml:space="preserve">מעסיק ישעה </w:t>
            </w:r>
            <w:r w:rsidRPr="00034887">
              <w:rPr>
                <w:rtl/>
              </w:rPr>
              <w:t xml:space="preserve">עובד אשר במסגרת </w:t>
            </w:r>
            <w:r>
              <w:rPr>
                <w:rFonts w:hint="cs"/>
                <w:rtl/>
              </w:rPr>
              <w:t xml:space="preserve">עבודתו </w:t>
            </w:r>
            <w:r w:rsidRPr="00034887">
              <w:rPr>
                <w:rFonts w:hint="cs"/>
                <w:rtl/>
              </w:rPr>
              <w:t>א</w:t>
            </w:r>
            <w:r w:rsidRPr="00034887">
              <w:rPr>
                <w:rtl/>
              </w:rPr>
              <w:t>חראי על קטין או חסר ישע</w:t>
            </w:r>
            <w:r w:rsidRPr="00034887">
              <w:rPr>
                <w:rFonts w:hint="cs"/>
                <w:rtl/>
              </w:rPr>
              <w:t>,</w:t>
            </w:r>
            <w:r w:rsidRPr="00034887">
              <w:rPr>
                <w:rtl/>
              </w:rPr>
              <w:t xml:space="preserve"> </w:t>
            </w:r>
            <w:r>
              <w:rPr>
                <w:rFonts w:hint="cs"/>
                <w:rtl/>
              </w:rPr>
              <w:t xml:space="preserve">ונפתחה נגדו </w:t>
            </w:r>
            <w:r w:rsidRPr="00034887">
              <w:rPr>
                <w:rtl/>
              </w:rPr>
              <w:t xml:space="preserve">חקירה פלילית בנסיבות של </w:t>
            </w:r>
            <w:r w:rsidRPr="00034887">
              <w:rPr>
                <w:rFonts w:hint="cs"/>
                <w:rtl/>
              </w:rPr>
              <w:t xml:space="preserve">חשד לביצוע </w:t>
            </w:r>
            <w:r w:rsidRPr="00034887">
              <w:rPr>
                <w:rtl/>
              </w:rPr>
              <w:t xml:space="preserve">עבירת מין או </w:t>
            </w:r>
            <w:r w:rsidRPr="00034887">
              <w:rPr>
                <w:rFonts w:hint="cs"/>
                <w:rtl/>
              </w:rPr>
              <w:t xml:space="preserve">עבירת </w:t>
            </w:r>
            <w:r w:rsidRPr="00034887">
              <w:rPr>
                <w:rtl/>
              </w:rPr>
              <w:t>אלימות חמורה בקטין או בחסר י</w:t>
            </w:r>
            <w:r w:rsidRPr="00034887">
              <w:rPr>
                <w:rFonts w:hint="cs"/>
                <w:rtl/>
              </w:rPr>
              <w:t>ש</w:t>
            </w:r>
            <w:r w:rsidRPr="00034887">
              <w:rPr>
                <w:rtl/>
              </w:rPr>
              <w:t>ע אשר</w:t>
            </w:r>
            <w:r w:rsidRPr="00034887">
              <w:rPr>
                <w:rFonts w:hint="cs"/>
                <w:rtl/>
              </w:rPr>
              <w:t xml:space="preserve"> </w:t>
            </w:r>
            <w:r w:rsidRPr="00034887">
              <w:rPr>
                <w:rtl/>
              </w:rPr>
              <w:t xml:space="preserve">עליו </w:t>
            </w:r>
            <w:r>
              <w:rPr>
                <w:rFonts w:hint="cs"/>
                <w:rtl/>
              </w:rPr>
              <w:t>הוא</w:t>
            </w:r>
            <w:r w:rsidRPr="00034887">
              <w:rPr>
                <w:rtl/>
              </w:rPr>
              <w:t xml:space="preserve"> אחראי</w:t>
            </w:r>
            <w:r>
              <w:rPr>
                <w:rFonts w:hint="cs"/>
                <w:rtl/>
              </w:rPr>
              <w:t xml:space="preserve"> או היה אחראי במסגרת עבודתו, </w:t>
            </w:r>
            <w:r w:rsidRPr="00034887">
              <w:rPr>
                <w:rtl/>
              </w:rPr>
              <w:t>אלא אם כן שוכנע</w:t>
            </w:r>
            <w:r>
              <w:rPr>
                <w:rFonts w:hint="cs"/>
                <w:rtl/>
              </w:rPr>
              <w:t xml:space="preserve"> המעסיק</w:t>
            </w:r>
            <w:r w:rsidRPr="00034887">
              <w:rPr>
                <w:rtl/>
              </w:rPr>
              <w:t xml:space="preserve"> כי קיימים טעמים חריגים מיוחדים</w:t>
            </w:r>
            <w:r>
              <w:rPr>
                <w:rFonts w:hint="cs"/>
                <w:rtl/>
              </w:rPr>
              <w:t xml:space="preserve"> </w:t>
            </w:r>
            <w:r w:rsidRPr="00034887">
              <w:rPr>
                <w:rtl/>
              </w:rPr>
              <w:t>אשר יפורטו בכתב, המצדיקים שלא להשעותו, או לחלופין, מצדיקים</w:t>
            </w:r>
            <w:r>
              <w:rPr>
                <w:rFonts w:hint="cs"/>
                <w:rtl/>
              </w:rPr>
              <w:t xml:space="preserve"> את</w:t>
            </w:r>
            <w:r w:rsidRPr="00034887">
              <w:rPr>
                <w:rtl/>
              </w:rPr>
              <w:t xml:space="preserve"> הפסקת השעייתו</w:t>
            </w:r>
            <w:r w:rsidRPr="00034887">
              <w:rPr>
                <w:rFonts w:hint="cs"/>
                <w:rtl/>
              </w:rPr>
              <w:t>.</w:t>
            </w:r>
          </w:p>
        </w:tc>
      </w:tr>
      <w:tr w:rsidR="00AB5969" w14:paraId="2B2B5BCD" w14:textId="77777777" w:rsidTr="00040342">
        <w:trPr>
          <w:cantSplit/>
        </w:trPr>
        <w:tc>
          <w:tcPr>
            <w:tcW w:w="1870" w:type="dxa"/>
          </w:tcPr>
          <w:p w14:paraId="18109DF0" w14:textId="77777777" w:rsidR="00AB5969" w:rsidRPr="00034887" w:rsidRDefault="00AB5969" w:rsidP="00040342">
            <w:pPr>
              <w:pStyle w:val="TableSideHeading"/>
              <w:rPr>
                <w:rtl/>
              </w:rPr>
            </w:pPr>
          </w:p>
        </w:tc>
        <w:tc>
          <w:tcPr>
            <w:tcW w:w="624" w:type="dxa"/>
          </w:tcPr>
          <w:p w14:paraId="5087C68B" w14:textId="77777777" w:rsidR="00AB5969" w:rsidRPr="007B5371" w:rsidRDefault="00AB5969" w:rsidP="00040342">
            <w:pPr>
              <w:pStyle w:val="TableText"/>
              <w:rPr>
                <w:rtl/>
              </w:rPr>
            </w:pPr>
          </w:p>
        </w:tc>
        <w:tc>
          <w:tcPr>
            <w:tcW w:w="7144" w:type="dxa"/>
            <w:gridSpan w:val="2"/>
          </w:tcPr>
          <w:p w14:paraId="03D8B1D8" w14:textId="77777777" w:rsidR="00AB5969" w:rsidRDefault="00AB5969" w:rsidP="00040342">
            <w:pPr>
              <w:pStyle w:val="TableBlock"/>
              <w:rPr>
                <w:rtl/>
              </w:rPr>
            </w:pPr>
            <w:r>
              <w:rPr>
                <w:rFonts w:hint="cs"/>
                <w:rtl/>
              </w:rPr>
              <w:t>(ג)</w:t>
            </w:r>
            <w:r>
              <w:rPr>
                <w:rtl/>
              </w:rPr>
              <w:tab/>
            </w:r>
            <w:r>
              <w:rPr>
                <w:rFonts w:hint="cs"/>
                <w:rtl/>
              </w:rPr>
              <w:t xml:space="preserve">בסעיף זה </w:t>
            </w:r>
            <w:r>
              <w:rPr>
                <w:rtl/>
              </w:rPr>
              <w:softHyphen/>
            </w:r>
            <w:r>
              <w:rPr>
                <w:rFonts w:hint="cs"/>
                <w:rtl/>
              </w:rPr>
              <w:t xml:space="preserve">– </w:t>
            </w:r>
          </w:p>
        </w:tc>
      </w:tr>
      <w:tr w:rsidR="00AB5969" w14:paraId="42CCDAC5" w14:textId="77777777" w:rsidTr="00040342">
        <w:trPr>
          <w:cantSplit/>
        </w:trPr>
        <w:tc>
          <w:tcPr>
            <w:tcW w:w="1870" w:type="dxa"/>
          </w:tcPr>
          <w:p w14:paraId="396D8105" w14:textId="77777777" w:rsidR="00AB5969" w:rsidRDefault="00AB5969" w:rsidP="00040342">
            <w:pPr>
              <w:pStyle w:val="TableSideHeading"/>
              <w:rPr>
                <w:rtl/>
              </w:rPr>
            </w:pPr>
          </w:p>
        </w:tc>
        <w:tc>
          <w:tcPr>
            <w:tcW w:w="624" w:type="dxa"/>
          </w:tcPr>
          <w:p w14:paraId="38FB6379" w14:textId="77777777" w:rsidR="00AB5969" w:rsidRPr="007B5371" w:rsidRDefault="00AB5969" w:rsidP="00040342">
            <w:pPr>
              <w:pStyle w:val="TableText"/>
              <w:rPr>
                <w:rtl/>
              </w:rPr>
            </w:pPr>
          </w:p>
        </w:tc>
        <w:tc>
          <w:tcPr>
            <w:tcW w:w="7144" w:type="dxa"/>
            <w:gridSpan w:val="2"/>
          </w:tcPr>
          <w:p w14:paraId="1F23FDD0" w14:textId="77777777" w:rsidR="00AB5969" w:rsidRPr="00D4575E" w:rsidRDefault="00AB5969" w:rsidP="00040342">
            <w:pPr>
              <w:pStyle w:val="TableBlockOutdent"/>
              <w:rPr>
                <w:rtl/>
              </w:rPr>
            </w:pPr>
            <w:r w:rsidRPr="00D4575E">
              <w:rPr>
                <w:rtl/>
              </w:rPr>
              <w:t>"אחראי על קטין או חסר ישע" ו"חסר ישע" – כהגדרתם בסעיף 368א לחוק העונשין</w:t>
            </w:r>
            <w:r>
              <w:rPr>
                <w:rFonts w:hint="cs"/>
                <w:rtl/>
              </w:rPr>
              <w:t>, התשל"ז</w:t>
            </w:r>
            <w:r>
              <w:rPr>
                <w:rFonts w:hint="eastAsia"/>
                <w:rtl/>
              </w:rPr>
              <w:t>–</w:t>
            </w:r>
            <w:r>
              <w:rPr>
                <w:rFonts w:hint="cs"/>
                <w:rtl/>
              </w:rPr>
              <w:t>1977</w:t>
            </w:r>
            <w:r>
              <w:rPr>
                <w:rStyle w:val="a6"/>
                <w:rtl/>
              </w:rPr>
              <w:footnoteReference w:id="3"/>
            </w:r>
            <w:r w:rsidRPr="00D4575E">
              <w:rPr>
                <w:rtl/>
              </w:rPr>
              <w:t>;</w:t>
            </w:r>
          </w:p>
        </w:tc>
      </w:tr>
      <w:tr w:rsidR="00AB5969" w14:paraId="7D51F71B" w14:textId="77777777" w:rsidTr="00040342">
        <w:trPr>
          <w:cantSplit/>
        </w:trPr>
        <w:tc>
          <w:tcPr>
            <w:tcW w:w="1870" w:type="dxa"/>
          </w:tcPr>
          <w:p w14:paraId="47F198F9" w14:textId="77777777" w:rsidR="00AB5969" w:rsidRDefault="00AB5969" w:rsidP="00040342">
            <w:pPr>
              <w:pStyle w:val="TableSideHeading"/>
              <w:rPr>
                <w:rtl/>
              </w:rPr>
            </w:pPr>
          </w:p>
        </w:tc>
        <w:tc>
          <w:tcPr>
            <w:tcW w:w="624" w:type="dxa"/>
          </w:tcPr>
          <w:p w14:paraId="1A866765" w14:textId="77777777" w:rsidR="00AB5969" w:rsidRPr="007B5371" w:rsidRDefault="00AB5969" w:rsidP="00040342">
            <w:pPr>
              <w:pStyle w:val="TableText"/>
              <w:rPr>
                <w:rtl/>
              </w:rPr>
            </w:pPr>
          </w:p>
        </w:tc>
        <w:tc>
          <w:tcPr>
            <w:tcW w:w="7144" w:type="dxa"/>
            <w:gridSpan w:val="2"/>
          </w:tcPr>
          <w:p w14:paraId="3139467D" w14:textId="77777777" w:rsidR="00AB5969" w:rsidRPr="00D4575E" w:rsidRDefault="00AB5969" w:rsidP="00040342">
            <w:pPr>
              <w:pStyle w:val="TableBlockOutdent"/>
              <w:rPr>
                <w:rtl/>
              </w:rPr>
            </w:pPr>
            <w:r w:rsidRPr="00D4575E">
              <w:rPr>
                <w:rtl/>
              </w:rPr>
              <w:t>"עבירת מין או אלימות חמורה" – עבירה לפי סעיפים 203ב, 298, 300, 305, 329, 333, 335, 345, 346, 347, 347א, 348, 351, 368ב, 368ג, ו-377א לחוק העונשין</w:t>
            </w:r>
            <w:r>
              <w:rPr>
                <w:rFonts w:hint="cs"/>
                <w:rtl/>
              </w:rPr>
              <w:t>, התשל"ז</w:t>
            </w:r>
            <w:r>
              <w:rPr>
                <w:rFonts w:hint="eastAsia"/>
                <w:rtl/>
              </w:rPr>
              <w:t>–</w:t>
            </w:r>
            <w:r>
              <w:rPr>
                <w:rFonts w:hint="cs"/>
                <w:rtl/>
              </w:rPr>
              <w:t>1977</w:t>
            </w:r>
            <w:r w:rsidRPr="00D4575E">
              <w:rPr>
                <w:rtl/>
              </w:rPr>
              <w:t xml:space="preserve">. </w:t>
            </w:r>
          </w:p>
        </w:tc>
      </w:tr>
      <w:tr w:rsidR="00AB5969" w14:paraId="45CF6C2C" w14:textId="77777777" w:rsidTr="00040342">
        <w:trPr>
          <w:cantSplit/>
        </w:trPr>
        <w:tc>
          <w:tcPr>
            <w:tcW w:w="1870" w:type="dxa"/>
          </w:tcPr>
          <w:p w14:paraId="4C81D4DF" w14:textId="77777777" w:rsidR="00AB5969" w:rsidRPr="00034887" w:rsidRDefault="00AB5969" w:rsidP="00040342">
            <w:pPr>
              <w:pStyle w:val="TableSideHeading"/>
              <w:rPr>
                <w:rtl/>
              </w:rPr>
            </w:pPr>
            <w:r w:rsidRPr="00034887">
              <w:rPr>
                <w:rtl/>
              </w:rPr>
              <w:t xml:space="preserve">זכויותיו הסוציאליות של עובד מושעה  </w:t>
            </w:r>
          </w:p>
        </w:tc>
        <w:tc>
          <w:tcPr>
            <w:tcW w:w="624" w:type="dxa"/>
          </w:tcPr>
          <w:p w14:paraId="2BD057D7" w14:textId="77777777" w:rsidR="00AB5969" w:rsidRDefault="00AB5969" w:rsidP="00040342">
            <w:pPr>
              <w:pStyle w:val="TableText"/>
              <w:keepLines w:val="0"/>
            </w:pPr>
            <w:r>
              <w:rPr>
                <w:rFonts w:ascii="David" w:hAnsi="David" w:hint="cs"/>
                <w:sz w:val="24"/>
                <w:szCs w:val="24"/>
                <w:rtl/>
              </w:rPr>
              <w:t>5</w:t>
            </w:r>
            <w:r w:rsidRPr="007B5371">
              <w:rPr>
                <w:rFonts w:ascii="David" w:hAnsi="David"/>
                <w:sz w:val="24"/>
                <w:szCs w:val="24"/>
                <w:rtl/>
              </w:rPr>
              <w:t>.</w:t>
            </w:r>
          </w:p>
        </w:tc>
        <w:tc>
          <w:tcPr>
            <w:tcW w:w="7144" w:type="dxa"/>
            <w:gridSpan w:val="2"/>
          </w:tcPr>
          <w:p w14:paraId="72C68B00" w14:textId="44F3602D" w:rsidR="00AB5969" w:rsidRPr="00034887" w:rsidRDefault="00AB5969" w:rsidP="00391EF4">
            <w:pPr>
              <w:pStyle w:val="TableBlock"/>
              <w:rPr>
                <w:rtl/>
              </w:rPr>
            </w:pPr>
            <w:r>
              <w:rPr>
                <w:rtl/>
              </w:rPr>
              <w:t xml:space="preserve">הושעה </w:t>
            </w:r>
            <w:r w:rsidRPr="00034887">
              <w:rPr>
                <w:rtl/>
              </w:rPr>
              <w:t>עובד</w:t>
            </w:r>
            <w:r>
              <w:rPr>
                <w:rFonts w:hint="cs"/>
                <w:rtl/>
              </w:rPr>
              <w:t>,</w:t>
            </w:r>
            <w:r>
              <w:rPr>
                <w:rtl/>
              </w:rPr>
              <w:t xml:space="preserve"> יחולו לגביו</w:t>
            </w:r>
            <w:r>
              <w:rPr>
                <w:rFonts w:hint="cs"/>
                <w:rtl/>
              </w:rPr>
              <w:t xml:space="preserve"> </w:t>
            </w:r>
            <w:r w:rsidRPr="00034887">
              <w:rPr>
                <w:rtl/>
              </w:rPr>
              <w:t xml:space="preserve">ההסדרים הסוציאליים החלים עליו לפי </w:t>
            </w:r>
            <w:r>
              <w:rPr>
                <w:rFonts w:hint="cs"/>
                <w:rtl/>
              </w:rPr>
              <w:t xml:space="preserve">כל דין, </w:t>
            </w:r>
            <w:r>
              <w:rPr>
                <w:rtl/>
              </w:rPr>
              <w:t xml:space="preserve">צו ההרחבה, הסכם קיבוצי או חוזה </w:t>
            </w:r>
            <w:r w:rsidRPr="00034887">
              <w:rPr>
                <w:rtl/>
              </w:rPr>
              <w:t>עבודה החלים עליו.</w:t>
            </w:r>
          </w:p>
        </w:tc>
      </w:tr>
      <w:tr w:rsidR="00AB5969" w14:paraId="5109BCF4" w14:textId="77777777" w:rsidTr="00040342">
        <w:trPr>
          <w:cantSplit/>
        </w:trPr>
        <w:tc>
          <w:tcPr>
            <w:tcW w:w="1870" w:type="dxa"/>
          </w:tcPr>
          <w:p w14:paraId="4175A07D" w14:textId="43B76CAC" w:rsidR="00AB5969" w:rsidRPr="00034887" w:rsidRDefault="00AB5969" w:rsidP="00040342">
            <w:pPr>
              <w:pStyle w:val="TableSideHeading"/>
              <w:rPr>
                <w:rtl/>
              </w:rPr>
            </w:pPr>
            <w:r>
              <w:rPr>
                <w:rFonts w:hint="cs"/>
                <w:rtl/>
              </w:rPr>
              <w:t>התגברות</w:t>
            </w:r>
            <w:r w:rsidR="000E475D">
              <w:rPr>
                <w:rtl/>
              </w:rPr>
              <w:t xml:space="preserve"> </w:t>
            </w:r>
          </w:p>
        </w:tc>
        <w:tc>
          <w:tcPr>
            <w:tcW w:w="624" w:type="dxa"/>
          </w:tcPr>
          <w:p w14:paraId="7B1BBA4A" w14:textId="26FEA180" w:rsidR="00AB5969" w:rsidRDefault="00AB5969" w:rsidP="000E475D">
            <w:pPr>
              <w:pStyle w:val="TableText"/>
              <w:keepLines w:val="0"/>
            </w:pPr>
            <w:r>
              <w:rPr>
                <w:rFonts w:ascii="David" w:hAnsi="David" w:hint="cs"/>
                <w:sz w:val="24"/>
                <w:szCs w:val="24"/>
                <w:rtl/>
              </w:rPr>
              <w:t>6</w:t>
            </w:r>
            <w:r w:rsidRPr="007B5371">
              <w:rPr>
                <w:rFonts w:ascii="David" w:hAnsi="David"/>
                <w:sz w:val="24"/>
                <w:szCs w:val="24"/>
                <w:rtl/>
              </w:rPr>
              <w:t>.</w:t>
            </w:r>
          </w:p>
        </w:tc>
        <w:tc>
          <w:tcPr>
            <w:tcW w:w="7144" w:type="dxa"/>
            <w:gridSpan w:val="2"/>
          </w:tcPr>
          <w:p w14:paraId="2176438A" w14:textId="734EA08C" w:rsidR="00AB5969" w:rsidRPr="00034887" w:rsidRDefault="00AB5969" w:rsidP="000E475D">
            <w:pPr>
              <w:pStyle w:val="TableBlock"/>
              <w:rPr>
                <w:rtl/>
              </w:rPr>
            </w:pPr>
            <w:r w:rsidRPr="00034887">
              <w:rPr>
                <w:rtl/>
              </w:rPr>
              <w:t xml:space="preserve">הוראות חוק זה גוברות על כל הוראה סותרת אחרת הקבועה בהסכם קיבוצי, </w:t>
            </w:r>
            <w:r>
              <w:rPr>
                <w:rFonts w:hint="cs"/>
                <w:rtl/>
              </w:rPr>
              <w:t xml:space="preserve">צו הרחבה או </w:t>
            </w:r>
            <w:r>
              <w:rPr>
                <w:rtl/>
              </w:rPr>
              <w:t xml:space="preserve">חוזה </w:t>
            </w:r>
            <w:r w:rsidRPr="00034887">
              <w:rPr>
                <w:rtl/>
              </w:rPr>
              <w:t xml:space="preserve">עבודה. </w:t>
            </w:r>
          </w:p>
        </w:tc>
      </w:tr>
      <w:tr w:rsidR="000E475D" w14:paraId="139B1195" w14:textId="77777777" w:rsidTr="00040342">
        <w:trPr>
          <w:cantSplit/>
        </w:trPr>
        <w:tc>
          <w:tcPr>
            <w:tcW w:w="1870" w:type="dxa"/>
          </w:tcPr>
          <w:p w14:paraId="57F38468" w14:textId="44EC7E96" w:rsidR="000E475D" w:rsidRDefault="00841B21" w:rsidP="00040342">
            <w:pPr>
              <w:pStyle w:val="TableSideHeading"/>
              <w:rPr>
                <w:rtl/>
              </w:rPr>
            </w:pPr>
            <w:r>
              <w:rPr>
                <w:rFonts w:hint="cs"/>
                <w:rtl/>
              </w:rPr>
              <w:t>סמכות המשטרה להרחיק עובד</w:t>
            </w:r>
          </w:p>
        </w:tc>
        <w:tc>
          <w:tcPr>
            <w:tcW w:w="624" w:type="dxa"/>
          </w:tcPr>
          <w:p w14:paraId="0FB92220" w14:textId="77777777" w:rsidR="000E475D" w:rsidRDefault="000E475D" w:rsidP="000E475D">
            <w:pPr>
              <w:pStyle w:val="TableText"/>
              <w:keepLines w:val="0"/>
              <w:rPr>
                <w:rtl/>
              </w:rPr>
            </w:pPr>
            <w:r>
              <w:rPr>
                <w:rFonts w:hint="cs"/>
                <w:rtl/>
              </w:rPr>
              <w:t>7.</w:t>
            </w:r>
          </w:p>
          <w:p w14:paraId="342B6BF0" w14:textId="77777777" w:rsidR="000E475D" w:rsidRDefault="000E475D" w:rsidP="00040342">
            <w:pPr>
              <w:pStyle w:val="TableText"/>
              <w:keepLines w:val="0"/>
              <w:rPr>
                <w:rFonts w:ascii="David" w:hAnsi="David"/>
                <w:sz w:val="24"/>
                <w:szCs w:val="24"/>
                <w:rtl/>
              </w:rPr>
            </w:pPr>
          </w:p>
        </w:tc>
        <w:tc>
          <w:tcPr>
            <w:tcW w:w="7144" w:type="dxa"/>
            <w:gridSpan w:val="2"/>
          </w:tcPr>
          <w:p w14:paraId="00D8AE15" w14:textId="23B83DEA" w:rsidR="000E475D" w:rsidRDefault="000E475D" w:rsidP="000E475D">
            <w:pPr>
              <w:pStyle w:val="TableBlock"/>
              <w:rPr>
                <w:rtl/>
              </w:rPr>
            </w:pPr>
            <w:r>
              <w:rPr>
                <w:rFonts w:hint="cs"/>
                <w:rtl/>
              </w:rPr>
              <w:t xml:space="preserve">אין בחוק זה כדי לגרוע מסמכות המשטרה לפנות לבית המשפט בכדי לבקש את הרחקתו של העובד ממקום העבודה. </w:t>
            </w:r>
          </w:p>
        </w:tc>
      </w:tr>
      <w:tr w:rsidR="000E475D" w14:paraId="1B72B763" w14:textId="77777777" w:rsidTr="00040342">
        <w:trPr>
          <w:cantSplit/>
        </w:trPr>
        <w:tc>
          <w:tcPr>
            <w:tcW w:w="1870" w:type="dxa"/>
          </w:tcPr>
          <w:p w14:paraId="056218CA" w14:textId="217A9DC9" w:rsidR="000E475D" w:rsidRDefault="000E475D" w:rsidP="00040342">
            <w:pPr>
              <w:pStyle w:val="TableSideHeading"/>
              <w:rPr>
                <w:rtl/>
              </w:rPr>
            </w:pPr>
            <w:r>
              <w:rPr>
                <w:rFonts w:hint="cs"/>
                <w:rtl/>
              </w:rPr>
              <w:lastRenderedPageBreak/>
              <w:t>תחולה</w:t>
            </w:r>
          </w:p>
        </w:tc>
        <w:tc>
          <w:tcPr>
            <w:tcW w:w="624" w:type="dxa"/>
          </w:tcPr>
          <w:p w14:paraId="1F5DA76B" w14:textId="32DFC2E2" w:rsidR="000E475D" w:rsidRDefault="000E475D" w:rsidP="00040342">
            <w:pPr>
              <w:pStyle w:val="TableText"/>
              <w:keepLines w:val="0"/>
              <w:rPr>
                <w:rFonts w:ascii="David" w:hAnsi="David"/>
                <w:sz w:val="24"/>
                <w:szCs w:val="24"/>
                <w:rtl/>
              </w:rPr>
            </w:pPr>
            <w:r>
              <w:rPr>
                <w:rFonts w:hint="cs"/>
                <w:rtl/>
              </w:rPr>
              <w:t>8.</w:t>
            </w:r>
          </w:p>
        </w:tc>
        <w:tc>
          <w:tcPr>
            <w:tcW w:w="7144" w:type="dxa"/>
            <w:gridSpan w:val="2"/>
          </w:tcPr>
          <w:p w14:paraId="66EC89E3" w14:textId="7D9E84B7" w:rsidR="000E475D" w:rsidRPr="00034887" w:rsidRDefault="00733061" w:rsidP="008C30FB">
            <w:pPr>
              <w:pStyle w:val="TableBlock"/>
              <w:rPr>
                <w:rtl/>
              </w:rPr>
            </w:pPr>
            <w:r>
              <w:rPr>
                <w:rFonts w:hint="cs"/>
                <w:rtl/>
              </w:rPr>
              <w:t>הוראות חוק זה יחולו על עובד שההחלטה על השעייתו התקבלה לאחר יום פרסומו של חוק זה</w:t>
            </w:r>
            <w:r w:rsidR="008C30FB">
              <w:rPr>
                <w:rFonts w:hint="cs"/>
                <w:rtl/>
              </w:rPr>
              <w:t xml:space="preserve"> </w:t>
            </w:r>
            <w:r>
              <w:rPr>
                <w:rFonts w:hint="cs"/>
                <w:rtl/>
              </w:rPr>
              <w:t>וכן על עובד שההחלטה על השעייתו התקבלה לפני יום פרסומו של חוק זה, ובלבד שהתקבלה החלטה על חידוש השעייתו או הארכתה לאחר יום פרסומו של חוק זה.</w:t>
            </w:r>
            <w:r w:rsidR="009E52AC">
              <w:rPr>
                <w:rFonts w:hint="cs"/>
                <w:rtl/>
              </w:rPr>
              <w:t xml:space="preserve"> </w:t>
            </w:r>
          </w:p>
        </w:tc>
      </w:tr>
    </w:tbl>
    <w:p w14:paraId="7F6961CA" w14:textId="77777777" w:rsidR="002D1EE3" w:rsidRPr="009A3160" w:rsidRDefault="002D1EE3" w:rsidP="009A3160">
      <w:pPr>
        <w:pStyle w:val="HeadDivreiHesber"/>
        <w:rPr>
          <w:rtl/>
        </w:rPr>
      </w:pPr>
      <w:r w:rsidRPr="009A3160">
        <w:rPr>
          <w:rFonts w:hint="cs"/>
          <w:rtl/>
        </w:rPr>
        <w:t>דברי הסבר</w:t>
      </w:r>
    </w:p>
    <w:p w14:paraId="2775A964" w14:textId="7686F239" w:rsidR="00AB5969" w:rsidRPr="00034887" w:rsidRDefault="00AB5969" w:rsidP="009A3160">
      <w:pPr>
        <w:pStyle w:val="Hesber"/>
        <w:spacing w:line="276" w:lineRule="auto"/>
        <w:rPr>
          <w:rtl/>
        </w:rPr>
      </w:pPr>
      <w:r>
        <w:rPr>
          <w:rFonts w:hint="cs"/>
          <w:rtl/>
        </w:rPr>
        <w:t xml:space="preserve">מוצע להסדיר את הליכי השעייתו של </w:t>
      </w:r>
      <w:r w:rsidRPr="00034887">
        <w:rPr>
          <w:rtl/>
        </w:rPr>
        <w:t>עובד</w:t>
      </w:r>
      <w:r>
        <w:rPr>
          <w:rFonts w:hint="cs"/>
          <w:rtl/>
        </w:rPr>
        <w:t xml:space="preserve"> שקיימת סמכות להשעותו מכוח הסכם קיבוצי, צו הרחבה או חוזה העבודה שלו וליצור </w:t>
      </w:r>
      <w:r w:rsidRPr="00034887">
        <w:rPr>
          <w:rFonts w:hint="cs"/>
          <w:rtl/>
        </w:rPr>
        <w:t>עקרונות מנחים אחידים</w:t>
      </w:r>
      <w:r>
        <w:rPr>
          <w:rFonts w:hint="cs"/>
          <w:rtl/>
        </w:rPr>
        <w:t xml:space="preserve">. לעניין זה, ההסדר המוצע אינו חל על </w:t>
      </w:r>
      <w:r w:rsidR="00391EF4">
        <w:rPr>
          <w:rFonts w:hint="cs"/>
          <w:rtl/>
        </w:rPr>
        <w:t>עובד שחל עליו חוק שירות המדינה (משמעת), התשכ"ג</w:t>
      </w:r>
      <w:r w:rsidR="00391EF4">
        <w:rPr>
          <w:rFonts w:hint="eastAsia"/>
          <w:rtl/>
        </w:rPr>
        <w:t>–</w:t>
      </w:r>
      <w:r w:rsidR="00391EF4">
        <w:rPr>
          <w:rFonts w:hint="cs"/>
          <w:rtl/>
        </w:rPr>
        <w:t xml:space="preserve">1963, </w:t>
      </w:r>
      <w:r>
        <w:rPr>
          <w:rFonts w:hint="cs"/>
          <w:rtl/>
        </w:rPr>
        <w:t>שכן שם קיים הסדר השעיה מיוחד.</w:t>
      </w:r>
      <w:r w:rsidRPr="00034887">
        <w:rPr>
          <w:rFonts w:hint="cs"/>
          <w:rtl/>
        </w:rPr>
        <w:t xml:space="preserve"> </w:t>
      </w:r>
      <w:r>
        <w:rPr>
          <w:rFonts w:hint="cs"/>
          <w:rtl/>
        </w:rPr>
        <w:t>בהתאם להסדר המוצע,</w:t>
      </w:r>
      <w:r w:rsidRPr="00034887">
        <w:rPr>
          <w:rFonts w:hint="cs"/>
          <w:rtl/>
        </w:rPr>
        <w:t xml:space="preserve"> </w:t>
      </w:r>
      <w:r>
        <w:rPr>
          <w:rFonts w:hint="cs"/>
          <w:rtl/>
        </w:rPr>
        <w:t>עובד יושעה</w:t>
      </w:r>
      <w:r w:rsidR="009E52AC">
        <w:rPr>
          <w:rFonts w:hint="cs"/>
          <w:rtl/>
        </w:rPr>
        <w:t xml:space="preserve"> </w:t>
      </w:r>
      <w:r w:rsidR="004F7389">
        <w:rPr>
          <w:rFonts w:hint="cs"/>
          <w:rtl/>
        </w:rPr>
        <w:t xml:space="preserve">לתקופה העולה על 45 ימים </w:t>
      </w:r>
      <w:r w:rsidRPr="00034887">
        <w:rPr>
          <w:rFonts w:hint="cs"/>
          <w:rtl/>
        </w:rPr>
        <w:t xml:space="preserve">רק בנסיבות </w:t>
      </w:r>
      <w:r>
        <w:rPr>
          <w:rFonts w:hint="cs"/>
          <w:rtl/>
        </w:rPr>
        <w:t>ש</w:t>
      </w:r>
      <w:r w:rsidRPr="00034887">
        <w:rPr>
          <w:rFonts w:hint="cs"/>
          <w:rtl/>
        </w:rPr>
        <w:t xml:space="preserve">בהן </w:t>
      </w:r>
      <w:r w:rsidRPr="00034887">
        <w:rPr>
          <w:rtl/>
        </w:rPr>
        <w:t>הוגש נג</w:t>
      </w:r>
      <w:r>
        <w:rPr>
          <w:rFonts w:hint="cs"/>
          <w:rtl/>
        </w:rPr>
        <w:t xml:space="preserve">דו </w:t>
      </w:r>
      <w:r w:rsidRPr="00034887">
        <w:rPr>
          <w:rtl/>
        </w:rPr>
        <w:t>כתב אישום</w:t>
      </w:r>
      <w:r w:rsidRPr="00034887">
        <w:rPr>
          <w:rFonts w:hint="cs"/>
          <w:rtl/>
        </w:rPr>
        <w:t xml:space="preserve">, </w:t>
      </w:r>
      <w:r>
        <w:rPr>
          <w:rFonts w:hint="cs"/>
          <w:rtl/>
        </w:rPr>
        <w:t>וגם אז, השעייתו תיבחן על ידי המעסיק</w:t>
      </w:r>
      <w:r w:rsidRPr="00034887">
        <w:rPr>
          <w:rFonts w:hint="cs"/>
          <w:rtl/>
        </w:rPr>
        <w:t xml:space="preserve"> תוך איזון בין הפררוגטיבה של המעסיק, מטרות ההשעיה וחזקת החפות העומדת לזכות</w:t>
      </w:r>
      <w:r>
        <w:rPr>
          <w:rFonts w:hint="cs"/>
          <w:rtl/>
        </w:rPr>
        <w:t>ו של העובד</w:t>
      </w:r>
      <w:r w:rsidRPr="00034887">
        <w:rPr>
          <w:rFonts w:hint="cs"/>
          <w:rtl/>
        </w:rPr>
        <w:t>.</w:t>
      </w:r>
      <w:r>
        <w:rPr>
          <w:rFonts w:hint="cs"/>
          <w:rtl/>
        </w:rPr>
        <w:t xml:space="preserve"> עם זאת,</w:t>
      </w:r>
      <w:r w:rsidR="004F7389">
        <w:rPr>
          <w:rFonts w:hint="cs"/>
          <w:rtl/>
        </w:rPr>
        <w:t xml:space="preserve"> על פי המוצע יהיה ניתן להשעות עובד רק בשל חקירה פלילית בהתאם לחריגים המפורטים בהצעה </w:t>
      </w:r>
      <w:r w:rsidR="00F93EFD">
        <w:rPr>
          <w:rFonts w:hint="cs"/>
          <w:rtl/>
        </w:rPr>
        <w:t xml:space="preserve">גם </w:t>
      </w:r>
      <w:r w:rsidR="004F7389">
        <w:rPr>
          <w:rFonts w:hint="cs"/>
          <w:rtl/>
        </w:rPr>
        <w:t>לתקופה העולה על 45 ימים.</w:t>
      </w:r>
      <w:r>
        <w:rPr>
          <w:rFonts w:hint="cs"/>
          <w:rtl/>
        </w:rPr>
        <w:t xml:space="preserve"> יודגש כי אין בחוק זה המכוון למעסיק כדי לפגוע בסמכותה של המשטרה לפנות לבית המשפט ולבקש את הרחקתו של העובד ממקום העבודה.</w:t>
      </w:r>
    </w:p>
    <w:p w14:paraId="67F0371E" w14:textId="77777777" w:rsidR="00AB5969" w:rsidRPr="00034887" w:rsidRDefault="00AB5969" w:rsidP="009A3160">
      <w:pPr>
        <w:pStyle w:val="Hesber"/>
        <w:spacing w:line="276" w:lineRule="auto"/>
        <w:rPr>
          <w:rtl/>
        </w:rPr>
      </w:pPr>
      <w:r w:rsidRPr="00034887">
        <w:rPr>
          <w:rtl/>
        </w:rPr>
        <w:t>במצב הקיים היום אין הסדרה להשעייתם של עובדים</w:t>
      </w:r>
      <w:r w:rsidRPr="00034887">
        <w:rPr>
          <w:rFonts w:hint="cs"/>
          <w:rtl/>
        </w:rPr>
        <w:t xml:space="preserve"> אשר החל בעניינם הליך מקדמי של חקירה פלילית או </w:t>
      </w:r>
      <w:r>
        <w:rPr>
          <w:rFonts w:hint="cs"/>
          <w:rtl/>
        </w:rPr>
        <w:t>ש</w:t>
      </w:r>
      <w:r w:rsidRPr="00034887">
        <w:rPr>
          <w:rFonts w:hint="cs"/>
          <w:rtl/>
        </w:rPr>
        <w:t>הוגש בעניינם כתב אישום</w:t>
      </w:r>
      <w:r>
        <w:rPr>
          <w:rFonts w:hint="cs"/>
          <w:rtl/>
        </w:rPr>
        <w:t>, למעט בקרב עובדי המדינה לפי האמור בחוק שירות המדינה (משמעת), התשכ"ג</w:t>
      </w:r>
      <w:r>
        <w:rPr>
          <w:rFonts w:hint="eastAsia"/>
          <w:rtl/>
        </w:rPr>
        <w:t>–</w:t>
      </w:r>
      <w:r>
        <w:rPr>
          <w:rFonts w:hint="cs"/>
          <w:rtl/>
        </w:rPr>
        <w:t>1963, ו</w:t>
      </w:r>
      <w:r w:rsidRPr="00034887">
        <w:rPr>
          <w:rFonts w:hint="cs"/>
          <w:rtl/>
        </w:rPr>
        <w:t>די בכך שמוקנית סמכות השעיה בהסכם קיבוצי,</w:t>
      </w:r>
      <w:r>
        <w:rPr>
          <w:rFonts w:hint="cs"/>
          <w:rtl/>
        </w:rPr>
        <w:t xml:space="preserve"> צו הרחבה או</w:t>
      </w:r>
      <w:r w:rsidRPr="00034887">
        <w:rPr>
          <w:rFonts w:hint="cs"/>
          <w:rtl/>
        </w:rPr>
        <w:t xml:space="preserve"> ח</w:t>
      </w:r>
      <w:r>
        <w:rPr>
          <w:rFonts w:hint="cs"/>
          <w:rtl/>
        </w:rPr>
        <w:t xml:space="preserve">וזה עבודה. </w:t>
      </w:r>
      <w:r w:rsidRPr="00034887">
        <w:rPr>
          <w:rFonts w:hint="cs"/>
          <w:rtl/>
        </w:rPr>
        <w:t>בהתאם לסמכות המוקנית למעסיקים, עובדים רבים מושעים מעבודתם רק בעקבות הודעה למעסיק על פתיחה בחקירה פלילית בעניינו של עובד וההחלטה להשעות את העובדים עם היוודע על זימונם לחקירה או קיומה של חקירה פלילית בעניינם פוגעת בזכויות יסוד חוקתיות בסיסיות ו</w:t>
      </w:r>
      <w:r>
        <w:rPr>
          <w:rFonts w:hint="cs"/>
          <w:rtl/>
        </w:rPr>
        <w:t xml:space="preserve">כן </w:t>
      </w:r>
      <w:r w:rsidRPr="00034887">
        <w:rPr>
          <w:rFonts w:hint="cs"/>
          <w:rtl/>
        </w:rPr>
        <w:t xml:space="preserve">בחזקת החפות באופן לא מידתי ולא סביר.  </w:t>
      </w:r>
    </w:p>
    <w:p w14:paraId="057F7948" w14:textId="77777777" w:rsidR="00AB5969" w:rsidRPr="00034887" w:rsidRDefault="00AB5969" w:rsidP="009A3160">
      <w:pPr>
        <w:pStyle w:val="Hesber"/>
        <w:spacing w:line="276" w:lineRule="auto"/>
        <w:rPr>
          <w:rtl/>
        </w:rPr>
      </w:pPr>
      <w:r w:rsidRPr="00034887">
        <w:rPr>
          <w:rtl/>
        </w:rPr>
        <w:t>במקרים רבים</w:t>
      </w:r>
      <w:r w:rsidRPr="00034887">
        <w:rPr>
          <w:rFonts w:hint="cs"/>
          <w:rtl/>
        </w:rPr>
        <w:t>,</w:t>
      </w:r>
      <w:r w:rsidRPr="00034887">
        <w:rPr>
          <w:rtl/>
        </w:rPr>
        <w:t xml:space="preserve"> עובד </w:t>
      </w:r>
      <w:r>
        <w:rPr>
          <w:rFonts w:hint="cs"/>
          <w:rtl/>
        </w:rPr>
        <w:t>ש</w:t>
      </w:r>
      <w:r w:rsidRPr="00034887">
        <w:rPr>
          <w:rFonts w:hint="cs"/>
          <w:rtl/>
        </w:rPr>
        <w:t xml:space="preserve">נחקר במשטרה או </w:t>
      </w:r>
      <w:r>
        <w:rPr>
          <w:rFonts w:hint="cs"/>
          <w:rtl/>
        </w:rPr>
        <w:t>ש</w:t>
      </w:r>
      <w:r w:rsidRPr="00034887">
        <w:rPr>
          <w:rFonts w:hint="cs"/>
          <w:rtl/>
        </w:rPr>
        <w:t xml:space="preserve">מתקיימת חקירה פלילית בעניינו </w:t>
      </w:r>
      <w:r w:rsidRPr="00034887">
        <w:rPr>
          <w:rtl/>
        </w:rPr>
        <w:t>לא מורחק ממקום עבודתו ומחצרי המעסיק ולא נאסר עליו המשך העיסוק בתפקידו</w:t>
      </w:r>
      <w:r>
        <w:rPr>
          <w:rFonts w:hint="cs"/>
          <w:rtl/>
        </w:rPr>
        <w:t xml:space="preserve">. כמו כן, </w:t>
      </w:r>
      <w:r w:rsidRPr="00034887">
        <w:rPr>
          <w:rFonts w:hint="cs"/>
          <w:rtl/>
        </w:rPr>
        <w:t xml:space="preserve">גורמי החקירה במשטרה או בגופי חקירה אחרים לא מטילים על העובד מגבלות כלשהן. </w:t>
      </w:r>
      <w:r>
        <w:rPr>
          <w:rFonts w:hint="cs"/>
          <w:rtl/>
        </w:rPr>
        <w:t>במצב זה</w:t>
      </w:r>
      <w:r w:rsidRPr="00034887">
        <w:rPr>
          <w:rFonts w:hint="cs"/>
          <w:rtl/>
        </w:rPr>
        <w:t xml:space="preserve">, למרות העובדה שהעובד נחקר במשטרה או </w:t>
      </w:r>
      <w:r>
        <w:rPr>
          <w:rFonts w:hint="cs"/>
          <w:rtl/>
        </w:rPr>
        <w:t>ש</w:t>
      </w:r>
      <w:r w:rsidRPr="00034887">
        <w:rPr>
          <w:rFonts w:hint="cs"/>
          <w:rtl/>
        </w:rPr>
        <w:t>מתקיימת חקירה פלילית בעניינו, אין כל חשש כי העובד מהווה סכנה כלשהי לעובדים, למקום העבודה או לציבור ועל כן לא מתקיימת כלל תכלית ההשעיה בעניינו.</w:t>
      </w:r>
    </w:p>
    <w:p w14:paraId="065C6A8B" w14:textId="77777777" w:rsidR="00AB5969" w:rsidRPr="00034887" w:rsidRDefault="00AB5969" w:rsidP="009A3160">
      <w:pPr>
        <w:pStyle w:val="Hesber"/>
        <w:spacing w:line="276" w:lineRule="auto"/>
        <w:rPr>
          <w:rtl/>
        </w:rPr>
      </w:pPr>
      <w:r>
        <w:rPr>
          <w:rFonts w:hint="cs"/>
          <w:rtl/>
        </w:rPr>
        <w:t xml:space="preserve">בפסק הדין </w:t>
      </w:r>
      <w:hyperlink r:id="rId11" w:history="1">
        <w:r w:rsidRPr="00F63992">
          <w:rPr>
            <w:rtl/>
          </w:rPr>
          <w:t>ע</w:t>
        </w:r>
        <w:r>
          <w:rPr>
            <w:rFonts w:hint="cs"/>
            <w:rtl/>
          </w:rPr>
          <w:t>"</w:t>
        </w:r>
        <w:r w:rsidRPr="00F63992">
          <w:rPr>
            <w:rtl/>
          </w:rPr>
          <w:t>ע 151/05</w:t>
        </w:r>
      </w:hyperlink>
      <w:r w:rsidRPr="00F63992">
        <w:rPr>
          <w:rtl/>
        </w:rPr>
        <w:t xml:space="preserve"> </w:t>
      </w:r>
      <w:r w:rsidRPr="00F63992">
        <w:rPr>
          <w:b/>
          <w:bCs/>
          <w:rtl/>
        </w:rPr>
        <w:t xml:space="preserve">חיים טולדנו </w:t>
      </w:r>
      <w:r w:rsidRPr="00F63992">
        <w:rPr>
          <w:rFonts w:hint="eastAsia"/>
          <w:b/>
          <w:bCs/>
          <w:rtl/>
        </w:rPr>
        <w:t>נ</w:t>
      </w:r>
      <w:r w:rsidRPr="00F63992">
        <w:rPr>
          <w:b/>
          <w:bCs/>
          <w:rtl/>
        </w:rPr>
        <w:t>' עיריית נצרת עילית</w:t>
      </w:r>
      <w:r w:rsidRPr="00F63992">
        <w:rPr>
          <w:rtl/>
        </w:rPr>
        <w:t xml:space="preserve">  </w:t>
      </w:r>
      <w:r>
        <w:rPr>
          <w:rFonts w:hint="cs"/>
          <w:rtl/>
        </w:rPr>
        <w:t>(</w:t>
      </w:r>
      <w:r w:rsidRPr="00F63992">
        <w:rPr>
          <w:rtl/>
        </w:rPr>
        <w:t>ניתן ביום 26.2.07</w:t>
      </w:r>
      <w:r>
        <w:rPr>
          <w:rFonts w:hint="cs"/>
          <w:rtl/>
        </w:rPr>
        <w:t>), נכתב כי</w:t>
      </w:r>
      <w:r w:rsidRPr="00034887">
        <w:rPr>
          <w:rFonts w:hint="cs"/>
          <w:rtl/>
        </w:rPr>
        <w:t xml:space="preserve"> </w:t>
      </w:r>
      <w:r>
        <w:rPr>
          <w:rFonts w:hint="cs"/>
          <w:rtl/>
        </w:rPr>
        <w:t>"</w:t>
      </w:r>
      <w:r w:rsidRPr="00034887">
        <w:rPr>
          <w:rtl/>
        </w:rPr>
        <w:t>ההשעיה מכתימה את שמו של העובד ופוגעת בכבודו בקרב החברה הסובבת אותו. ההשעיה מבטאת הנחה של קיום אשמה בעובד ומטילה עליו סטיגמה חברתית".</w:t>
      </w:r>
    </w:p>
    <w:p w14:paraId="2270107E" w14:textId="77777777" w:rsidR="00AB5969" w:rsidRPr="00034887" w:rsidRDefault="00AB5969" w:rsidP="009A3160">
      <w:pPr>
        <w:pStyle w:val="Hesber"/>
        <w:spacing w:line="276" w:lineRule="auto"/>
        <w:rPr>
          <w:rtl/>
        </w:rPr>
      </w:pPr>
      <w:r w:rsidRPr="00034887">
        <w:rPr>
          <w:rtl/>
        </w:rPr>
        <w:t>במקרים</w:t>
      </w:r>
      <w:r>
        <w:rPr>
          <w:rtl/>
        </w:rPr>
        <w:t xml:space="preserve"> רבים העובדים אשר הושעו מעבודתם</w:t>
      </w:r>
      <w:r w:rsidRPr="00034887">
        <w:rPr>
          <w:rFonts w:hint="cs"/>
          <w:rtl/>
        </w:rPr>
        <w:t xml:space="preserve"> רק בגלל העובדה שזומנו לחקירה או כי מתקיימת בעניינם חקירה פלילית,</w:t>
      </w:r>
      <w:r w:rsidRPr="00034887">
        <w:rPr>
          <w:rtl/>
        </w:rPr>
        <w:t xml:space="preserve"> מושעים לתקופות ארוכות </w:t>
      </w:r>
      <w:r>
        <w:rPr>
          <w:rFonts w:hint="cs"/>
          <w:rtl/>
        </w:rPr>
        <w:t xml:space="preserve">ולעיתים </w:t>
      </w:r>
      <w:r w:rsidRPr="00034887">
        <w:rPr>
          <w:rtl/>
        </w:rPr>
        <w:t>עד אשר מסתיימת החקירה ו</w:t>
      </w:r>
      <w:r>
        <w:rPr>
          <w:rFonts w:hint="cs"/>
          <w:rtl/>
        </w:rPr>
        <w:t>במקרים רבים</w:t>
      </w:r>
      <w:r w:rsidRPr="00034887">
        <w:rPr>
          <w:rtl/>
        </w:rPr>
        <w:t xml:space="preserve"> כלל לא מוגש כתב אישום. </w:t>
      </w:r>
    </w:p>
    <w:p w14:paraId="40357BE1" w14:textId="66078684" w:rsidR="00AB5969" w:rsidRDefault="00AB5969" w:rsidP="009A3160">
      <w:pPr>
        <w:pStyle w:val="Hesber"/>
        <w:spacing w:line="276" w:lineRule="auto"/>
        <w:rPr>
          <w:rtl/>
        </w:rPr>
      </w:pPr>
      <w:r w:rsidRPr="00034887">
        <w:rPr>
          <w:rtl/>
        </w:rPr>
        <w:t>בנסיבות הללו</w:t>
      </w:r>
      <w:r w:rsidRPr="00034887">
        <w:rPr>
          <w:rFonts w:hint="cs"/>
          <w:rtl/>
        </w:rPr>
        <w:t>,</w:t>
      </w:r>
      <w:r w:rsidRPr="00034887">
        <w:rPr>
          <w:rtl/>
        </w:rPr>
        <w:t xml:space="preserve"> הליכי ההשעיה המתקיימים בעניינם</w:t>
      </w:r>
      <w:r w:rsidRPr="00034887">
        <w:rPr>
          <w:rFonts w:hint="cs"/>
          <w:rtl/>
        </w:rPr>
        <w:t xml:space="preserve"> של עובדים</w:t>
      </w:r>
      <w:r w:rsidRPr="00034887">
        <w:rPr>
          <w:rtl/>
        </w:rPr>
        <w:t xml:space="preserve"> והשעייתם כשלעצמה מהווים </w:t>
      </w:r>
      <w:r w:rsidRPr="00034887">
        <w:rPr>
          <w:rFonts w:hint="cs"/>
          <w:rtl/>
        </w:rPr>
        <w:t>"כתם" ו</w:t>
      </w:r>
      <w:r w:rsidRPr="00034887">
        <w:rPr>
          <w:rtl/>
        </w:rPr>
        <w:t xml:space="preserve">פגיעה חמורה בחזקת החפות המוקנית לכל אחד מהם ובזכויות יסוד </w:t>
      </w:r>
      <w:r w:rsidRPr="00034887">
        <w:rPr>
          <w:rFonts w:hint="cs"/>
          <w:rtl/>
        </w:rPr>
        <w:t xml:space="preserve">חוקתיות </w:t>
      </w:r>
      <w:r w:rsidRPr="00034887">
        <w:rPr>
          <w:rtl/>
        </w:rPr>
        <w:t>לכבוד, ל</w:t>
      </w:r>
      <w:r w:rsidR="00391EF4">
        <w:rPr>
          <w:rtl/>
        </w:rPr>
        <w:t>שם טוב, לחירות וצדק המוקנות להם</w:t>
      </w:r>
      <w:r w:rsidRPr="00034887">
        <w:rPr>
          <w:rtl/>
        </w:rPr>
        <w:t xml:space="preserve"> והם</w:t>
      </w:r>
      <w:r>
        <w:rPr>
          <w:rFonts w:hint="cs"/>
          <w:rtl/>
        </w:rPr>
        <w:t xml:space="preserve"> </w:t>
      </w:r>
      <w:r>
        <w:rPr>
          <w:rtl/>
        </w:rPr>
        <w:t>נושאים אות ק</w:t>
      </w:r>
      <w:r w:rsidRPr="00034887">
        <w:rPr>
          <w:rtl/>
        </w:rPr>
        <w:t>ין של כתם ההשעיה תקופה ארוכה</w:t>
      </w:r>
      <w:r w:rsidR="00391EF4">
        <w:rPr>
          <w:rFonts w:hint="cs"/>
          <w:rtl/>
        </w:rPr>
        <w:t>.</w:t>
      </w:r>
      <w:r w:rsidR="00391EF4">
        <w:rPr>
          <w:rtl/>
        </w:rPr>
        <w:t xml:space="preserve"> </w:t>
      </w:r>
      <w:r w:rsidRPr="00034887">
        <w:rPr>
          <w:rtl/>
        </w:rPr>
        <w:t>בכך</w:t>
      </w:r>
      <w:r w:rsidR="00391EF4">
        <w:rPr>
          <w:rFonts w:hint="cs"/>
          <w:rtl/>
        </w:rPr>
        <w:t>,</w:t>
      </w:r>
      <w:r w:rsidRPr="00034887">
        <w:rPr>
          <w:rtl/>
        </w:rPr>
        <w:t xml:space="preserve"> נגרם נזק לתדמיתם ולמוניטין </w:t>
      </w:r>
      <w:r>
        <w:rPr>
          <w:rFonts w:hint="cs"/>
          <w:rtl/>
        </w:rPr>
        <w:t>שצברו</w:t>
      </w:r>
      <w:r w:rsidRPr="00034887">
        <w:rPr>
          <w:rtl/>
        </w:rPr>
        <w:t xml:space="preserve"> בעבודתם</w:t>
      </w:r>
      <w:r>
        <w:rPr>
          <w:rFonts w:hint="cs"/>
          <w:rtl/>
        </w:rPr>
        <w:t>,</w:t>
      </w:r>
      <w:r w:rsidRPr="00034887">
        <w:rPr>
          <w:rtl/>
        </w:rPr>
        <w:t xml:space="preserve"> ו</w:t>
      </w:r>
      <w:r>
        <w:rPr>
          <w:rFonts w:hint="cs"/>
          <w:rtl/>
        </w:rPr>
        <w:t xml:space="preserve">כן </w:t>
      </w:r>
      <w:r w:rsidRPr="00034887">
        <w:rPr>
          <w:rtl/>
        </w:rPr>
        <w:t xml:space="preserve">נזק נפשי </w:t>
      </w:r>
      <w:r>
        <w:rPr>
          <w:rFonts w:hint="cs"/>
          <w:rtl/>
        </w:rPr>
        <w:t>המתווסף</w:t>
      </w:r>
      <w:r w:rsidRPr="00034887">
        <w:rPr>
          <w:rtl/>
        </w:rPr>
        <w:t xml:space="preserve"> לנזק הכלכלי של אובדן השתכרות במהלך תקופת ההשעיה. </w:t>
      </w:r>
    </w:p>
    <w:p w14:paraId="1B9E1C42" w14:textId="32A1BA58" w:rsidR="00582730" w:rsidRDefault="00582730" w:rsidP="00C17DBA">
      <w:pPr>
        <w:pStyle w:val="Hesber"/>
        <w:spacing w:line="276" w:lineRule="auto"/>
        <w:rPr>
          <w:rtl/>
        </w:rPr>
      </w:pPr>
      <w:r>
        <w:rPr>
          <w:rFonts w:hint="cs"/>
          <w:rtl/>
        </w:rPr>
        <w:t>הצעת חוק דומה בעיקרה הונחה ע</w:t>
      </w:r>
      <w:r w:rsidR="00C17DBA">
        <w:rPr>
          <w:rFonts w:hint="cs"/>
          <w:rtl/>
        </w:rPr>
        <w:t>ל שולחן הכנסת העשרים על ידי חבר</w:t>
      </w:r>
      <w:r>
        <w:rPr>
          <w:rFonts w:hint="cs"/>
          <w:rtl/>
        </w:rPr>
        <w:t xml:space="preserve"> הכנסת </w:t>
      </w:r>
      <w:bookmarkStart w:id="8" w:name="_GoBack"/>
      <w:bookmarkEnd w:id="8"/>
      <w:r>
        <w:rPr>
          <w:rFonts w:hint="cs"/>
          <w:rtl/>
        </w:rPr>
        <w:t>דוד ביטן (פ/4334/20).</w:t>
      </w:r>
    </w:p>
    <w:p w14:paraId="0D52371C" w14:textId="77777777" w:rsidR="00AB5969" w:rsidRDefault="00AB5969" w:rsidP="009A3160">
      <w:pPr>
        <w:pStyle w:val="Hesber"/>
        <w:spacing w:line="276" w:lineRule="auto"/>
        <w:rPr>
          <w:rtl/>
        </w:rPr>
      </w:pPr>
    </w:p>
    <w:p w14:paraId="07B3655C" w14:textId="77777777" w:rsidR="009A3160" w:rsidRPr="00D73212" w:rsidRDefault="009A3160" w:rsidP="009A3160">
      <w:pPr>
        <w:pStyle w:val="Hesber"/>
        <w:rPr>
          <w:color w:val="auto"/>
          <w:rtl/>
          <w:lang w:eastAsia="en-US"/>
        </w:rPr>
      </w:pPr>
      <w:r w:rsidRPr="00D73212">
        <w:rPr>
          <w:color w:val="auto"/>
          <w:rtl/>
          <w:lang w:eastAsia="en-US"/>
        </w:rPr>
        <w:t>---------------------------------</w:t>
      </w:r>
    </w:p>
    <w:p w14:paraId="0844286E" w14:textId="77777777" w:rsidR="009A3160" w:rsidRPr="00D73212" w:rsidRDefault="009A3160" w:rsidP="009A3160">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9CFCBAB" w14:textId="77777777" w:rsidR="009A3160" w:rsidRPr="00D73212" w:rsidRDefault="009A3160" w:rsidP="009A3160">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F6961CB" w14:textId="6641D88B" w:rsidR="00E13C27" w:rsidRDefault="009A3160" w:rsidP="009A3160">
      <w:pPr>
        <w:pStyle w:val="Hesber"/>
        <w:rPr>
          <w:rtl/>
        </w:rPr>
      </w:pPr>
      <w:r>
        <w:rPr>
          <w:rFonts w:hint="cs"/>
          <w:color w:val="auto"/>
          <w:rtl/>
          <w:lang w:eastAsia="en-US"/>
        </w:rPr>
        <w:t>ט' בתמוז</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ז</w:t>
      </w:r>
      <w:r w:rsidRPr="00D73212">
        <w:rPr>
          <w:color w:val="auto"/>
          <w:rtl/>
          <w:lang w:eastAsia="en-US"/>
        </w:rPr>
        <w:t xml:space="preserve"> – </w:t>
      </w:r>
      <w:r>
        <w:rPr>
          <w:rFonts w:hint="cs"/>
          <w:color w:val="auto"/>
          <w:rtl/>
          <w:lang w:eastAsia="en-US"/>
        </w:rPr>
        <w:t>3.7</w:t>
      </w:r>
      <w:r w:rsidRPr="00D73212">
        <w:rPr>
          <w:color w:val="auto"/>
          <w:rtl/>
          <w:lang w:eastAsia="en-US"/>
        </w:rPr>
        <w:t>.</w:t>
      </w:r>
      <w:r>
        <w:rPr>
          <w:rFonts w:hint="cs"/>
          <w:color w:val="auto"/>
          <w:rtl/>
          <w:lang w:eastAsia="en-US"/>
        </w:rPr>
        <w:t>17</w:t>
      </w:r>
    </w:p>
    <w:sectPr w:rsidR="00E13C27" w:rsidSect="001207F8">
      <w:footerReference w:type="even" r:id="rId12"/>
      <w:footerReference w:type="default" r:id="rId13"/>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17DB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26B82C65" w14:textId="77777777" w:rsidR="000E475D" w:rsidRDefault="000E475D" w:rsidP="000E475D">
      <w:pPr>
        <w:pStyle w:val="a4"/>
      </w:pPr>
      <w:r>
        <w:rPr>
          <w:rStyle w:val="a6"/>
        </w:rPr>
        <w:footnoteRef/>
      </w:r>
      <w:r>
        <w:rPr>
          <w:rtl/>
        </w:rPr>
        <w:t xml:space="preserve"> </w:t>
      </w:r>
      <w:r>
        <w:rPr>
          <w:rFonts w:hint="cs"/>
          <w:rtl/>
        </w:rPr>
        <w:t xml:space="preserve">ס"ח התשכ"ג, עמ' 50. </w:t>
      </w:r>
    </w:p>
  </w:footnote>
  <w:footnote w:id="3">
    <w:p w14:paraId="7DA2C2D7" w14:textId="77777777" w:rsidR="00AB5969" w:rsidRDefault="00AB5969" w:rsidP="00AB5969">
      <w:pPr>
        <w:pStyle w:val="a4"/>
      </w:pPr>
      <w:r>
        <w:rPr>
          <w:rStyle w:val="a6"/>
        </w:rPr>
        <w:footnoteRef/>
      </w:r>
      <w:r>
        <w:rPr>
          <w:rtl/>
        </w:rPr>
        <w:t xml:space="preserve"> </w:t>
      </w:r>
      <w:r>
        <w:rPr>
          <w:rFonts w:hint="cs"/>
          <w:rtl/>
        </w:rPr>
        <w:t>ס"ח התשל"ז, עמ' 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E475D"/>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1EF4"/>
    <w:rsid w:val="00396585"/>
    <w:rsid w:val="003D6E38"/>
    <w:rsid w:val="003D74A0"/>
    <w:rsid w:val="004033D8"/>
    <w:rsid w:val="004073F0"/>
    <w:rsid w:val="00412A7D"/>
    <w:rsid w:val="00416B4D"/>
    <w:rsid w:val="00417CFC"/>
    <w:rsid w:val="00477768"/>
    <w:rsid w:val="004A06DC"/>
    <w:rsid w:val="004B24ED"/>
    <w:rsid w:val="004B6625"/>
    <w:rsid w:val="004D2D82"/>
    <w:rsid w:val="004D3876"/>
    <w:rsid w:val="004E4552"/>
    <w:rsid w:val="004E6CDF"/>
    <w:rsid w:val="004F7389"/>
    <w:rsid w:val="00553C9D"/>
    <w:rsid w:val="00562A66"/>
    <w:rsid w:val="00582730"/>
    <w:rsid w:val="005B064E"/>
    <w:rsid w:val="005D51AE"/>
    <w:rsid w:val="0062674B"/>
    <w:rsid w:val="006363B2"/>
    <w:rsid w:val="00644940"/>
    <w:rsid w:val="006818A9"/>
    <w:rsid w:val="006A2D81"/>
    <w:rsid w:val="006C1D0D"/>
    <w:rsid w:val="0070601E"/>
    <w:rsid w:val="00712C72"/>
    <w:rsid w:val="00733061"/>
    <w:rsid w:val="00735FE9"/>
    <w:rsid w:val="00763CAA"/>
    <w:rsid w:val="00765F66"/>
    <w:rsid w:val="007665FA"/>
    <w:rsid w:val="0078664F"/>
    <w:rsid w:val="007C3FA6"/>
    <w:rsid w:val="007D585A"/>
    <w:rsid w:val="007D5A12"/>
    <w:rsid w:val="007E59F9"/>
    <w:rsid w:val="00810BCD"/>
    <w:rsid w:val="00812C98"/>
    <w:rsid w:val="00814D92"/>
    <w:rsid w:val="0083181D"/>
    <w:rsid w:val="00841B21"/>
    <w:rsid w:val="00843EB2"/>
    <w:rsid w:val="00865572"/>
    <w:rsid w:val="00874BBC"/>
    <w:rsid w:val="00892135"/>
    <w:rsid w:val="00895449"/>
    <w:rsid w:val="00897879"/>
    <w:rsid w:val="008A6870"/>
    <w:rsid w:val="008C2DDC"/>
    <w:rsid w:val="008C30FB"/>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3D5C"/>
    <w:rsid w:val="00957589"/>
    <w:rsid w:val="00966D06"/>
    <w:rsid w:val="00982412"/>
    <w:rsid w:val="00983A8D"/>
    <w:rsid w:val="009A0DB8"/>
    <w:rsid w:val="009A3160"/>
    <w:rsid w:val="009A7257"/>
    <w:rsid w:val="009D6E0A"/>
    <w:rsid w:val="009E1E33"/>
    <w:rsid w:val="009E52AC"/>
    <w:rsid w:val="00A14672"/>
    <w:rsid w:val="00A26BD6"/>
    <w:rsid w:val="00A443CF"/>
    <w:rsid w:val="00A6611D"/>
    <w:rsid w:val="00A82CB7"/>
    <w:rsid w:val="00A942C1"/>
    <w:rsid w:val="00AA2F03"/>
    <w:rsid w:val="00AB5969"/>
    <w:rsid w:val="00AC36F7"/>
    <w:rsid w:val="00AC63A4"/>
    <w:rsid w:val="00AD239E"/>
    <w:rsid w:val="00B10265"/>
    <w:rsid w:val="00B16A99"/>
    <w:rsid w:val="00B21211"/>
    <w:rsid w:val="00B35784"/>
    <w:rsid w:val="00B733A7"/>
    <w:rsid w:val="00B75C91"/>
    <w:rsid w:val="00B975AD"/>
    <w:rsid w:val="00BC45FB"/>
    <w:rsid w:val="00BF148D"/>
    <w:rsid w:val="00C17DBA"/>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93EFD"/>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aliases w:val="הערות,?????,טקסט הערות שוליים תו תו תו תו תו תו תו תו תו תו,טקסט הערות שוליים תו תו תו תו תו תו תו תו,טקסט הערות שוליים תו תו תו תו תו תו תו תו תו תו תו,טקסט הערות שוליים תו תו תו תו תו תו תו תו תו תו תו תו"/>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aliases w:val="הערות תו,????? תו,טקסט הערות שוליים תו תו תו תו תו תו תו תו תו תו תו1,טקסט הערות שוליים תו תו תו תו תו תו תו תו תו,טקסט הערות שוליים תו תו תו תו תו תו תו תו תו תו תו תו1,טקסט הערות שוליים תו תו תו תו תו תו תו תו תו תו תו תו תו"/>
    <w:link w:val="a4"/>
    <w:semiHidden/>
    <w:locked/>
    <w:rsid w:val="00AB596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vo.co.il/case/2266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34CF6782-A7BA-4D33-B6AA-C7789C40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8A4C54-AF29-44FF-84DB-627A7E48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1020</Words>
  <Characters>5102</Characters>
  <Application>Microsoft Office Word</Application>
  <DocSecurity>0</DocSecurity>
  <Lines>42</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15</cp:revision>
  <cp:lastPrinted>2017-07-03T07:05:00Z</cp:lastPrinted>
  <dcterms:created xsi:type="dcterms:W3CDTF">2015-04-20T09:58:00Z</dcterms:created>
  <dcterms:modified xsi:type="dcterms:W3CDTF">2017-07-03T07:05:00Z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2019092</vt:r8>
  </property>
</Properties>
</file>