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2012775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מיקי לוי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פ/3771/20</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זכויות נפגעי עבירה (תיקון – הכשרת חוקרי וחוקרות עבירות מין, מתורגמנים ויומנאים), התשע"ז–2017</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0"/>
        <w:gridCol w:w="625"/>
        <w:gridCol w:w="625"/>
        <w:gridCol w:w="625"/>
        <w:gridCol w:w="625"/>
        <w:gridCol w:w="625"/>
        <w:gridCol w:w="4646"/>
      </w:tblGrid>
      <w:tr w:rsidR="00847290" w:rsidRPr="00043097" w14:paraId="22A6A64C" w14:textId="77777777" w:rsidTr="00981374">
        <w:trPr>
          <w:cantSplit/>
        </w:trPr>
        <w:tc>
          <w:tcPr>
            <w:tcW w:w="1870" w:type="dxa"/>
          </w:tcPr>
          <w:p w14:paraId="2B041919" w14:textId="77777777" w:rsidR="00847290" w:rsidRDefault="00847290" w:rsidP="008D5892">
            <w:pPr>
              <w:pStyle w:val="TableSideHeading"/>
              <w:keepLines w:val="0"/>
            </w:pPr>
            <w:r>
              <w:rPr>
                <w:rtl/>
              </w:rPr>
              <w:t>הוספת סעיף 13א</w:t>
            </w:r>
          </w:p>
        </w:tc>
        <w:tc>
          <w:tcPr>
            <w:tcW w:w="625" w:type="dxa"/>
          </w:tcPr>
          <w:p w14:paraId="5743AE85" w14:textId="77777777" w:rsidR="00847290" w:rsidRDefault="00847290" w:rsidP="008D5892">
            <w:pPr>
              <w:pStyle w:val="TableText"/>
              <w:keepLines w:val="0"/>
            </w:pPr>
            <w:r>
              <w:rPr>
                <w:rtl/>
              </w:rPr>
              <w:t>1.</w:t>
            </w:r>
          </w:p>
        </w:tc>
        <w:tc>
          <w:tcPr>
            <w:tcW w:w="7146" w:type="dxa"/>
            <w:gridSpan w:val="5"/>
          </w:tcPr>
          <w:p w14:paraId="5A8B075F" w14:textId="51C52536" w:rsidR="00847290" w:rsidRPr="00043097" w:rsidRDefault="00847290" w:rsidP="001F25B7">
            <w:pPr>
              <w:pStyle w:val="TableBlock"/>
            </w:pPr>
            <w:r w:rsidRPr="00F3468F">
              <w:rPr>
                <w:rtl/>
              </w:rPr>
              <w:t>בחוק</w:t>
            </w:r>
            <w:r>
              <w:rPr>
                <w:rtl/>
              </w:rPr>
              <w:t xml:space="preserve"> זכויות נפגעי עבירה, התשס"א</w:t>
            </w:r>
            <w:r>
              <w:rPr>
                <w:rtl/>
              </w:rPr>
              <w:softHyphen/>
            </w:r>
            <w:r>
              <w:rPr>
                <w:rtl/>
              </w:rPr>
              <w:softHyphen/>
            </w:r>
            <w:r>
              <w:rPr>
                <w:rtl/>
              </w:rPr>
              <w:softHyphen/>
            </w:r>
            <w:r>
              <w:rPr>
                <w:rtl/>
              </w:rPr>
              <w:softHyphen/>
            </w:r>
            <w:r>
              <w:rPr>
                <w:rtl/>
              </w:rPr>
              <w:softHyphen/>
              <w:t>–2001</w:t>
            </w:r>
            <w:r>
              <w:rPr>
                <w:rStyle w:val="a6"/>
                <w:rtl/>
              </w:rPr>
              <w:footnoteReference w:id="2"/>
            </w:r>
            <w:r>
              <w:rPr>
                <w:rtl/>
              </w:rPr>
              <w:t>, אחרי סעיף 13 יבוא:</w:t>
            </w:r>
          </w:p>
        </w:tc>
      </w:tr>
      <w:tr w:rsidR="00847290" w14:paraId="3B99C482" w14:textId="77777777" w:rsidTr="00981374">
        <w:trPr>
          <w:cantSplit/>
        </w:trPr>
        <w:tc>
          <w:tcPr>
            <w:tcW w:w="1870" w:type="dxa"/>
          </w:tcPr>
          <w:p w14:paraId="6E4682D4" w14:textId="77777777" w:rsidR="00847290" w:rsidRDefault="00847290" w:rsidP="008D5892">
            <w:pPr>
              <w:pStyle w:val="TableSideHeading"/>
              <w:keepLines w:val="0"/>
            </w:pPr>
          </w:p>
        </w:tc>
        <w:tc>
          <w:tcPr>
            <w:tcW w:w="625" w:type="dxa"/>
          </w:tcPr>
          <w:p w14:paraId="2215FB53" w14:textId="77777777" w:rsidR="00847290" w:rsidRDefault="00847290" w:rsidP="008D5892">
            <w:pPr>
              <w:pStyle w:val="TableText"/>
              <w:keepLines w:val="0"/>
            </w:pPr>
          </w:p>
        </w:tc>
        <w:tc>
          <w:tcPr>
            <w:tcW w:w="1875" w:type="dxa"/>
            <w:gridSpan w:val="3"/>
          </w:tcPr>
          <w:p w14:paraId="40575FD1" w14:textId="77777777" w:rsidR="00847290" w:rsidRDefault="00847290" w:rsidP="008D5892">
            <w:pPr>
              <w:pStyle w:val="TableInnerSideHeading"/>
            </w:pPr>
            <w:r>
              <w:rPr>
                <w:rtl/>
              </w:rPr>
              <w:t>"</w:t>
            </w:r>
            <w:r w:rsidRPr="00E6356B">
              <w:rPr>
                <w:rtl/>
              </w:rPr>
              <w:t>הכשרת והסמכת חוקרי וחוקרות עבירות מין, מתורגמנים ויומנאים</w:t>
            </w:r>
          </w:p>
        </w:tc>
        <w:tc>
          <w:tcPr>
            <w:tcW w:w="625" w:type="dxa"/>
          </w:tcPr>
          <w:p w14:paraId="7303A565" w14:textId="77777777" w:rsidR="00847290" w:rsidRDefault="00847290" w:rsidP="008D5892">
            <w:pPr>
              <w:pStyle w:val="TableText"/>
            </w:pPr>
            <w:r>
              <w:rPr>
                <w:rtl/>
              </w:rPr>
              <w:t>13א.</w:t>
            </w:r>
          </w:p>
        </w:tc>
        <w:tc>
          <w:tcPr>
            <w:tcW w:w="4646" w:type="dxa"/>
          </w:tcPr>
          <w:p w14:paraId="6DED170A" w14:textId="77777777" w:rsidR="00847290" w:rsidRDefault="00847290" w:rsidP="008D5892">
            <w:pPr>
              <w:pStyle w:val="TableBlock"/>
            </w:pPr>
            <w:r>
              <w:rPr>
                <w:rtl/>
              </w:rPr>
              <w:t>(א)</w:t>
            </w:r>
            <w:r>
              <w:rPr>
                <w:rtl/>
              </w:rPr>
              <w:tab/>
            </w:r>
            <w:r w:rsidRPr="00407FB6">
              <w:rPr>
                <w:rtl/>
              </w:rPr>
              <w:t xml:space="preserve">חקירת </w:t>
            </w:r>
            <w:r>
              <w:rPr>
                <w:rtl/>
              </w:rPr>
              <w:t>תלונה בגוף החוקר בדבר עבירת מין</w:t>
            </w:r>
            <w:r w:rsidRPr="00407FB6">
              <w:rPr>
                <w:rtl/>
              </w:rPr>
              <w:t xml:space="preserve"> לא </w:t>
            </w:r>
            <w:r>
              <w:rPr>
                <w:rtl/>
              </w:rPr>
              <w:t>תיערך</w:t>
            </w:r>
            <w:r w:rsidRPr="00407FB6">
              <w:rPr>
                <w:rtl/>
              </w:rPr>
              <w:t xml:space="preserve"> אלא על ידי חוקר </w:t>
            </w:r>
            <w:r>
              <w:rPr>
                <w:rtl/>
              </w:rPr>
              <w:t>שהוסמך לכך כאמור בסעיף זה.</w:t>
            </w:r>
          </w:p>
        </w:tc>
      </w:tr>
      <w:tr w:rsidR="00847290" w14:paraId="27C4222F" w14:textId="77777777" w:rsidTr="00981374">
        <w:trPr>
          <w:cantSplit/>
        </w:trPr>
        <w:tc>
          <w:tcPr>
            <w:tcW w:w="1870" w:type="dxa"/>
          </w:tcPr>
          <w:p w14:paraId="15147C08" w14:textId="77777777" w:rsidR="00847290" w:rsidRDefault="00847290" w:rsidP="008D5892">
            <w:pPr>
              <w:pStyle w:val="TableSideHeading"/>
            </w:pPr>
          </w:p>
        </w:tc>
        <w:tc>
          <w:tcPr>
            <w:tcW w:w="625" w:type="dxa"/>
          </w:tcPr>
          <w:p w14:paraId="4DE6F95A" w14:textId="77777777" w:rsidR="00847290" w:rsidRDefault="00847290" w:rsidP="008D5892">
            <w:pPr>
              <w:pStyle w:val="TableText"/>
            </w:pPr>
          </w:p>
        </w:tc>
        <w:tc>
          <w:tcPr>
            <w:tcW w:w="625" w:type="dxa"/>
          </w:tcPr>
          <w:p w14:paraId="30F8BF3F" w14:textId="77777777" w:rsidR="00847290" w:rsidRDefault="00847290" w:rsidP="008D5892">
            <w:pPr>
              <w:pStyle w:val="TableText"/>
            </w:pPr>
          </w:p>
        </w:tc>
        <w:tc>
          <w:tcPr>
            <w:tcW w:w="625" w:type="dxa"/>
          </w:tcPr>
          <w:p w14:paraId="51CDADA6" w14:textId="77777777" w:rsidR="00847290" w:rsidRDefault="00847290" w:rsidP="008D5892">
            <w:pPr>
              <w:pStyle w:val="TableText"/>
            </w:pPr>
          </w:p>
        </w:tc>
        <w:tc>
          <w:tcPr>
            <w:tcW w:w="625" w:type="dxa"/>
          </w:tcPr>
          <w:p w14:paraId="5A8BAA5F" w14:textId="77777777" w:rsidR="00847290" w:rsidRDefault="00847290" w:rsidP="008D5892">
            <w:pPr>
              <w:pStyle w:val="TableText"/>
            </w:pPr>
          </w:p>
        </w:tc>
        <w:tc>
          <w:tcPr>
            <w:tcW w:w="625" w:type="dxa"/>
          </w:tcPr>
          <w:p w14:paraId="3B13DC06" w14:textId="77777777" w:rsidR="00847290" w:rsidRDefault="00847290" w:rsidP="008D5892">
            <w:pPr>
              <w:pStyle w:val="TableText"/>
            </w:pPr>
          </w:p>
        </w:tc>
        <w:tc>
          <w:tcPr>
            <w:tcW w:w="4646" w:type="dxa"/>
          </w:tcPr>
          <w:p w14:paraId="03ECA009" w14:textId="0BC0EBFE" w:rsidR="00847290" w:rsidRDefault="00847290" w:rsidP="00347613">
            <w:pPr>
              <w:pStyle w:val="TableBlock"/>
            </w:pPr>
            <w:r>
              <w:rPr>
                <w:rtl/>
              </w:rPr>
              <w:t>(ב)</w:t>
            </w:r>
            <w:r>
              <w:rPr>
                <w:rtl/>
              </w:rPr>
              <w:tab/>
              <w:t xml:space="preserve">הגוף החוקר יקיים מסלול הכשרה </w:t>
            </w:r>
            <w:r w:rsidRPr="004F67F9">
              <w:rPr>
                <w:rtl/>
              </w:rPr>
              <w:t>ש</w:t>
            </w:r>
            <w:r>
              <w:rPr>
                <w:rFonts w:hint="cs"/>
                <w:rtl/>
              </w:rPr>
              <w:t>י</w:t>
            </w:r>
            <w:r w:rsidRPr="004F67F9">
              <w:rPr>
                <w:rtl/>
              </w:rPr>
              <w:t xml:space="preserve">יקבע לאחר היוועצות עם גופים ציבוריים וארגוני זכויות </w:t>
            </w:r>
            <w:r>
              <w:rPr>
                <w:rtl/>
              </w:rPr>
              <w:t xml:space="preserve">נפגעי עבירה הפועלים בתחום התקיפה המינית </w:t>
            </w:r>
            <w:r w:rsidR="00347613">
              <w:rPr>
                <w:rFonts w:hint="cs"/>
                <w:rtl/>
              </w:rPr>
              <w:t>חמש</w:t>
            </w:r>
            <w:r>
              <w:rPr>
                <w:rtl/>
              </w:rPr>
              <w:t xml:space="preserve"> שנים לפחות.</w:t>
            </w:r>
          </w:p>
        </w:tc>
      </w:tr>
      <w:tr w:rsidR="00847290" w14:paraId="3A687F0D" w14:textId="77777777" w:rsidTr="00981374">
        <w:trPr>
          <w:cantSplit/>
        </w:trPr>
        <w:tc>
          <w:tcPr>
            <w:tcW w:w="1870" w:type="dxa"/>
          </w:tcPr>
          <w:p w14:paraId="2A601F4C" w14:textId="77777777" w:rsidR="00847290" w:rsidRDefault="00847290" w:rsidP="008D5892">
            <w:pPr>
              <w:pStyle w:val="TableSideHeading"/>
            </w:pPr>
          </w:p>
        </w:tc>
        <w:tc>
          <w:tcPr>
            <w:tcW w:w="625" w:type="dxa"/>
          </w:tcPr>
          <w:p w14:paraId="449D5F41" w14:textId="77777777" w:rsidR="00847290" w:rsidRDefault="00847290" w:rsidP="008D5892">
            <w:pPr>
              <w:pStyle w:val="TableText"/>
            </w:pPr>
          </w:p>
        </w:tc>
        <w:tc>
          <w:tcPr>
            <w:tcW w:w="625" w:type="dxa"/>
          </w:tcPr>
          <w:p w14:paraId="645C26BD" w14:textId="77777777" w:rsidR="00847290" w:rsidRDefault="00847290" w:rsidP="008D5892">
            <w:pPr>
              <w:pStyle w:val="TableText"/>
            </w:pPr>
          </w:p>
        </w:tc>
        <w:tc>
          <w:tcPr>
            <w:tcW w:w="625" w:type="dxa"/>
          </w:tcPr>
          <w:p w14:paraId="3E47109A" w14:textId="77777777" w:rsidR="00847290" w:rsidRDefault="00847290" w:rsidP="008D5892">
            <w:pPr>
              <w:pStyle w:val="TableText"/>
            </w:pPr>
          </w:p>
        </w:tc>
        <w:tc>
          <w:tcPr>
            <w:tcW w:w="625" w:type="dxa"/>
          </w:tcPr>
          <w:p w14:paraId="4754CC05" w14:textId="77777777" w:rsidR="00847290" w:rsidRDefault="00847290" w:rsidP="008D5892">
            <w:pPr>
              <w:pStyle w:val="TableText"/>
            </w:pPr>
          </w:p>
        </w:tc>
        <w:tc>
          <w:tcPr>
            <w:tcW w:w="625" w:type="dxa"/>
          </w:tcPr>
          <w:p w14:paraId="1B23C11F" w14:textId="77777777" w:rsidR="00847290" w:rsidRDefault="00847290" w:rsidP="008D5892">
            <w:pPr>
              <w:pStyle w:val="TableText"/>
            </w:pPr>
          </w:p>
        </w:tc>
        <w:tc>
          <w:tcPr>
            <w:tcW w:w="4646" w:type="dxa"/>
          </w:tcPr>
          <w:p w14:paraId="45B48BEB" w14:textId="17A19231" w:rsidR="00847290" w:rsidRDefault="00847290" w:rsidP="008D5892">
            <w:pPr>
              <w:pStyle w:val="TableBlock"/>
            </w:pPr>
            <w:r>
              <w:rPr>
                <w:rtl/>
              </w:rPr>
              <w:t>(ג)</w:t>
            </w:r>
            <w:r>
              <w:rPr>
                <w:rtl/>
              </w:rPr>
              <w:tab/>
              <w:t>חוקר יוסמך</w:t>
            </w:r>
            <w:r w:rsidRPr="005570CC">
              <w:rPr>
                <w:rtl/>
              </w:rPr>
              <w:t xml:space="preserve"> </w:t>
            </w:r>
            <w:r>
              <w:rPr>
                <w:rtl/>
              </w:rPr>
              <w:t xml:space="preserve">על ידי ראש מדור נפגעי עבירה </w:t>
            </w:r>
            <w:r w:rsidRPr="005570CC">
              <w:rPr>
                <w:rtl/>
              </w:rPr>
              <w:t>כחוקר עבירות מין</w:t>
            </w:r>
            <w:r>
              <w:rPr>
                <w:rtl/>
              </w:rPr>
              <w:t xml:space="preserve"> לאחר שעבר הכשרה כאמור בסעיף קטן (ב)</w:t>
            </w:r>
            <w:r w:rsidR="00347613">
              <w:rPr>
                <w:rFonts w:hint="cs"/>
                <w:rtl/>
              </w:rPr>
              <w:t>,</w:t>
            </w:r>
            <w:r>
              <w:rPr>
                <w:rtl/>
              </w:rPr>
              <w:t xml:space="preserve"> ו</w:t>
            </w:r>
            <w:r w:rsidRPr="004F67F9">
              <w:rPr>
                <w:rtl/>
              </w:rPr>
              <w:t>בהתאם לנהלים שי</w:t>
            </w:r>
            <w:r w:rsidR="00347613">
              <w:rPr>
                <w:rFonts w:hint="cs"/>
                <w:rtl/>
              </w:rPr>
              <w:t>י</w:t>
            </w:r>
            <w:r w:rsidRPr="004F67F9">
              <w:rPr>
                <w:rtl/>
              </w:rPr>
              <w:t xml:space="preserve">קבעו </w:t>
            </w:r>
            <w:r>
              <w:rPr>
                <w:rtl/>
              </w:rPr>
              <w:t>על ידי השרים.</w:t>
            </w:r>
          </w:p>
        </w:tc>
      </w:tr>
      <w:tr w:rsidR="00847290" w14:paraId="452776AF" w14:textId="77777777" w:rsidTr="00981374">
        <w:trPr>
          <w:cantSplit/>
        </w:trPr>
        <w:tc>
          <w:tcPr>
            <w:tcW w:w="1870" w:type="dxa"/>
          </w:tcPr>
          <w:p w14:paraId="55DEF6E7" w14:textId="77777777" w:rsidR="00847290" w:rsidRDefault="00847290" w:rsidP="008D5892">
            <w:pPr>
              <w:pStyle w:val="TableSideHeading"/>
            </w:pPr>
          </w:p>
        </w:tc>
        <w:tc>
          <w:tcPr>
            <w:tcW w:w="625" w:type="dxa"/>
          </w:tcPr>
          <w:p w14:paraId="65B2EC4F" w14:textId="77777777" w:rsidR="00847290" w:rsidRDefault="00847290" w:rsidP="008D5892">
            <w:pPr>
              <w:pStyle w:val="TableText"/>
            </w:pPr>
          </w:p>
        </w:tc>
        <w:tc>
          <w:tcPr>
            <w:tcW w:w="625" w:type="dxa"/>
          </w:tcPr>
          <w:p w14:paraId="1C207E39" w14:textId="77777777" w:rsidR="00847290" w:rsidRDefault="00847290" w:rsidP="008D5892">
            <w:pPr>
              <w:pStyle w:val="TableText"/>
            </w:pPr>
          </w:p>
        </w:tc>
        <w:tc>
          <w:tcPr>
            <w:tcW w:w="625" w:type="dxa"/>
          </w:tcPr>
          <w:p w14:paraId="25971D49" w14:textId="77777777" w:rsidR="00847290" w:rsidRDefault="00847290" w:rsidP="008D5892">
            <w:pPr>
              <w:pStyle w:val="TableText"/>
            </w:pPr>
          </w:p>
        </w:tc>
        <w:tc>
          <w:tcPr>
            <w:tcW w:w="625" w:type="dxa"/>
          </w:tcPr>
          <w:p w14:paraId="314B456C" w14:textId="77777777" w:rsidR="00847290" w:rsidRDefault="00847290" w:rsidP="008D5892">
            <w:pPr>
              <w:pStyle w:val="TableText"/>
            </w:pPr>
          </w:p>
        </w:tc>
        <w:tc>
          <w:tcPr>
            <w:tcW w:w="625" w:type="dxa"/>
          </w:tcPr>
          <w:p w14:paraId="2FB31A26" w14:textId="77777777" w:rsidR="00847290" w:rsidRDefault="00847290" w:rsidP="008D5892">
            <w:pPr>
              <w:pStyle w:val="TableText"/>
            </w:pPr>
          </w:p>
        </w:tc>
        <w:tc>
          <w:tcPr>
            <w:tcW w:w="4646" w:type="dxa"/>
          </w:tcPr>
          <w:p w14:paraId="04FEFC73" w14:textId="77777777" w:rsidR="00847290" w:rsidRPr="00420B04" w:rsidRDefault="00847290" w:rsidP="008D5892">
            <w:pPr>
              <w:pStyle w:val="TableBlock"/>
              <w:rPr>
                <w:rtl/>
              </w:rPr>
            </w:pPr>
            <w:r>
              <w:rPr>
                <w:rtl/>
              </w:rPr>
              <w:t>(ד)</w:t>
            </w:r>
            <w:r>
              <w:rPr>
                <w:rtl/>
              </w:rPr>
              <w:tab/>
            </w:r>
            <w:r w:rsidRPr="0062756F">
              <w:rPr>
                <w:rtl/>
              </w:rPr>
              <w:t xml:space="preserve">חוקר </w:t>
            </w:r>
            <w:r>
              <w:rPr>
                <w:rtl/>
              </w:rPr>
              <w:t>שהוסמך כאמור</w:t>
            </w:r>
            <w:r w:rsidRPr="0062756F">
              <w:rPr>
                <w:rtl/>
              </w:rPr>
              <w:t xml:space="preserve"> </w:t>
            </w:r>
            <w:r>
              <w:rPr>
                <w:rtl/>
              </w:rPr>
              <w:t>יירשם</w:t>
            </w:r>
            <w:r w:rsidRPr="0062756F">
              <w:rPr>
                <w:rtl/>
              </w:rPr>
              <w:t xml:space="preserve"> במאגר </w:t>
            </w:r>
            <w:r>
              <w:rPr>
                <w:rtl/>
              </w:rPr>
              <w:t>מיוחד; המאגר ינוהל על ידי הגוף החוקר.</w:t>
            </w:r>
          </w:p>
        </w:tc>
      </w:tr>
      <w:tr w:rsidR="00847290" w14:paraId="26545EA4" w14:textId="77777777" w:rsidTr="00981374">
        <w:trPr>
          <w:cantSplit/>
        </w:trPr>
        <w:tc>
          <w:tcPr>
            <w:tcW w:w="1870" w:type="dxa"/>
          </w:tcPr>
          <w:p w14:paraId="1600E62D" w14:textId="77777777" w:rsidR="00847290" w:rsidRDefault="00847290" w:rsidP="008D5892">
            <w:pPr>
              <w:pStyle w:val="TableSideHeading"/>
            </w:pPr>
          </w:p>
        </w:tc>
        <w:tc>
          <w:tcPr>
            <w:tcW w:w="625" w:type="dxa"/>
          </w:tcPr>
          <w:p w14:paraId="3B8B1494" w14:textId="77777777" w:rsidR="00847290" w:rsidRDefault="00847290" w:rsidP="008D5892">
            <w:pPr>
              <w:pStyle w:val="TableText"/>
            </w:pPr>
          </w:p>
        </w:tc>
        <w:tc>
          <w:tcPr>
            <w:tcW w:w="625" w:type="dxa"/>
          </w:tcPr>
          <w:p w14:paraId="61A14F80" w14:textId="77777777" w:rsidR="00847290" w:rsidRDefault="00847290" w:rsidP="008D5892">
            <w:pPr>
              <w:pStyle w:val="TableText"/>
            </w:pPr>
          </w:p>
        </w:tc>
        <w:tc>
          <w:tcPr>
            <w:tcW w:w="625" w:type="dxa"/>
          </w:tcPr>
          <w:p w14:paraId="0473C442" w14:textId="77777777" w:rsidR="00847290" w:rsidRDefault="00847290" w:rsidP="008D5892">
            <w:pPr>
              <w:pStyle w:val="TableText"/>
            </w:pPr>
          </w:p>
        </w:tc>
        <w:tc>
          <w:tcPr>
            <w:tcW w:w="625" w:type="dxa"/>
          </w:tcPr>
          <w:p w14:paraId="683CDAE3" w14:textId="77777777" w:rsidR="00847290" w:rsidRDefault="00847290" w:rsidP="008D5892">
            <w:pPr>
              <w:pStyle w:val="TableText"/>
            </w:pPr>
          </w:p>
        </w:tc>
        <w:tc>
          <w:tcPr>
            <w:tcW w:w="625" w:type="dxa"/>
          </w:tcPr>
          <w:p w14:paraId="01A6182D" w14:textId="77777777" w:rsidR="00847290" w:rsidRDefault="00847290" w:rsidP="008D5892">
            <w:pPr>
              <w:pStyle w:val="TableText"/>
            </w:pPr>
          </w:p>
        </w:tc>
        <w:tc>
          <w:tcPr>
            <w:tcW w:w="4646" w:type="dxa"/>
          </w:tcPr>
          <w:p w14:paraId="5BFA246D" w14:textId="77777777" w:rsidR="00847290" w:rsidRPr="00420B04" w:rsidRDefault="00847290" w:rsidP="008D5892">
            <w:pPr>
              <w:pStyle w:val="TableBlock"/>
              <w:rPr>
                <w:rtl/>
              </w:rPr>
            </w:pPr>
            <w:r>
              <w:rPr>
                <w:rtl/>
              </w:rPr>
              <w:t>(ה)</w:t>
            </w:r>
            <w:r>
              <w:rPr>
                <w:rtl/>
              </w:rPr>
              <w:tab/>
              <w:t xml:space="preserve"> הגוף החוקר יערוך ימי העשרה שנתיים בנושא חקירת עבירות מין; חוקר מוסמך כאמור ישתתף בשני ימי העשרה שנתיים לכל הפחות.</w:t>
            </w:r>
          </w:p>
        </w:tc>
      </w:tr>
      <w:tr w:rsidR="00847290" w14:paraId="0BF7DFB6" w14:textId="77777777" w:rsidTr="00981374">
        <w:trPr>
          <w:cantSplit/>
        </w:trPr>
        <w:tc>
          <w:tcPr>
            <w:tcW w:w="1870" w:type="dxa"/>
          </w:tcPr>
          <w:p w14:paraId="0DBF6DE2" w14:textId="77777777" w:rsidR="00847290" w:rsidRDefault="00847290" w:rsidP="008D5892">
            <w:pPr>
              <w:pStyle w:val="TableSideHeading"/>
            </w:pPr>
          </w:p>
        </w:tc>
        <w:tc>
          <w:tcPr>
            <w:tcW w:w="625" w:type="dxa"/>
          </w:tcPr>
          <w:p w14:paraId="03E72257" w14:textId="77777777" w:rsidR="00847290" w:rsidRDefault="00847290" w:rsidP="008D5892">
            <w:pPr>
              <w:pStyle w:val="TableText"/>
            </w:pPr>
          </w:p>
        </w:tc>
        <w:tc>
          <w:tcPr>
            <w:tcW w:w="625" w:type="dxa"/>
          </w:tcPr>
          <w:p w14:paraId="551D0FAA" w14:textId="77777777" w:rsidR="00847290" w:rsidRDefault="00847290" w:rsidP="008D5892">
            <w:pPr>
              <w:pStyle w:val="TableText"/>
            </w:pPr>
          </w:p>
        </w:tc>
        <w:tc>
          <w:tcPr>
            <w:tcW w:w="625" w:type="dxa"/>
          </w:tcPr>
          <w:p w14:paraId="56EEBF1A" w14:textId="77777777" w:rsidR="00847290" w:rsidRDefault="00847290" w:rsidP="008D5892">
            <w:pPr>
              <w:pStyle w:val="TableText"/>
            </w:pPr>
          </w:p>
        </w:tc>
        <w:tc>
          <w:tcPr>
            <w:tcW w:w="625" w:type="dxa"/>
          </w:tcPr>
          <w:p w14:paraId="20263A30" w14:textId="77777777" w:rsidR="00847290" w:rsidRDefault="00847290" w:rsidP="008D5892">
            <w:pPr>
              <w:pStyle w:val="TableText"/>
            </w:pPr>
          </w:p>
        </w:tc>
        <w:tc>
          <w:tcPr>
            <w:tcW w:w="625" w:type="dxa"/>
          </w:tcPr>
          <w:p w14:paraId="759312EF" w14:textId="77777777" w:rsidR="00847290" w:rsidRDefault="00847290" w:rsidP="008D5892">
            <w:pPr>
              <w:pStyle w:val="TableText"/>
            </w:pPr>
          </w:p>
        </w:tc>
        <w:tc>
          <w:tcPr>
            <w:tcW w:w="4646" w:type="dxa"/>
          </w:tcPr>
          <w:p w14:paraId="264A5050" w14:textId="16CD4FFF" w:rsidR="00847290" w:rsidRDefault="00847290" w:rsidP="00347613">
            <w:pPr>
              <w:pStyle w:val="TableBlock"/>
              <w:rPr>
                <w:rtl/>
              </w:rPr>
            </w:pPr>
            <w:r>
              <w:rPr>
                <w:rtl/>
              </w:rPr>
              <w:t>(ו</w:t>
            </w:r>
            <w:r w:rsidRPr="00C820E8">
              <w:rPr>
                <w:rtl/>
              </w:rPr>
              <w:t>)</w:t>
            </w:r>
            <w:r w:rsidRPr="00C820E8">
              <w:rPr>
                <w:rtl/>
              </w:rPr>
              <w:tab/>
              <w:t xml:space="preserve">חוקר </w:t>
            </w:r>
            <w:r>
              <w:rPr>
                <w:rtl/>
              </w:rPr>
              <w:t xml:space="preserve">יקבל </w:t>
            </w:r>
            <w:r w:rsidRPr="00C820E8">
              <w:rPr>
                <w:rtl/>
              </w:rPr>
              <w:t xml:space="preserve">ליווי מקצועי </w:t>
            </w:r>
            <w:r>
              <w:rPr>
                <w:rtl/>
              </w:rPr>
              <w:t>ו</w:t>
            </w:r>
            <w:r w:rsidRPr="00C820E8">
              <w:rPr>
                <w:rtl/>
              </w:rPr>
              <w:t xml:space="preserve">טיפולי </w:t>
            </w:r>
            <w:r>
              <w:rPr>
                <w:rtl/>
              </w:rPr>
              <w:t xml:space="preserve">שוטף </w:t>
            </w:r>
            <w:r w:rsidRPr="00C820E8">
              <w:rPr>
                <w:rtl/>
              </w:rPr>
              <w:t xml:space="preserve">כתנאי לעבודתו </w:t>
            </w:r>
            <w:r>
              <w:rPr>
                <w:rtl/>
              </w:rPr>
              <w:t>כחוקר מוסמך</w:t>
            </w:r>
            <w:r w:rsidR="00347613">
              <w:rPr>
                <w:rFonts w:hint="cs"/>
                <w:rtl/>
              </w:rPr>
              <w:t>;</w:t>
            </w:r>
            <w:r w:rsidR="00347613">
              <w:rPr>
                <w:rFonts w:hint="cs"/>
              </w:rPr>
              <w:t xml:space="preserve"> </w:t>
            </w:r>
            <w:r>
              <w:rPr>
                <w:rtl/>
              </w:rPr>
              <w:t xml:space="preserve">הגוף החוקר </w:t>
            </w:r>
            <w:r w:rsidRPr="00C820E8">
              <w:rPr>
                <w:rtl/>
              </w:rPr>
              <w:t xml:space="preserve"> יקיי</w:t>
            </w:r>
            <w:r>
              <w:rPr>
                <w:rtl/>
              </w:rPr>
              <w:t xml:space="preserve">ם </w:t>
            </w:r>
            <w:r w:rsidRPr="00C820E8">
              <w:rPr>
                <w:rtl/>
              </w:rPr>
              <w:t xml:space="preserve">מעקב </w:t>
            </w:r>
            <w:r>
              <w:rPr>
                <w:rtl/>
              </w:rPr>
              <w:t>רשום בדבר ביצוע סעיף קטן זה.</w:t>
            </w:r>
          </w:p>
        </w:tc>
      </w:tr>
      <w:tr w:rsidR="00847290" w14:paraId="3C4196FB" w14:textId="77777777" w:rsidTr="00981374">
        <w:trPr>
          <w:cantSplit/>
        </w:trPr>
        <w:tc>
          <w:tcPr>
            <w:tcW w:w="1870" w:type="dxa"/>
          </w:tcPr>
          <w:p w14:paraId="3F4E0A01" w14:textId="77777777" w:rsidR="00847290" w:rsidRDefault="00847290" w:rsidP="008D5892">
            <w:pPr>
              <w:pStyle w:val="TableSideHeading"/>
            </w:pPr>
          </w:p>
        </w:tc>
        <w:tc>
          <w:tcPr>
            <w:tcW w:w="625" w:type="dxa"/>
          </w:tcPr>
          <w:p w14:paraId="2FE2ADBE" w14:textId="77777777" w:rsidR="00847290" w:rsidRDefault="00847290" w:rsidP="008D5892">
            <w:pPr>
              <w:pStyle w:val="TableText"/>
            </w:pPr>
          </w:p>
        </w:tc>
        <w:tc>
          <w:tcPr>
            <w:tcW w:w="625" w:type="dxa"/>
          </w:tcPr>
          <w:p w14:paraId="263022A6" w14:textId="77777777" w:rsidR="00847290" w:rsidRDefault="00847290" w:rsidP="008D5892">
            <w:pPr>
              <w:pStyle w:val="TableText"/>
            </w:pPr>
          </w:p>
        </w:tc>
        <w:tc>
          <w:tcPr>
            <w:tcW w:w="625" w:type="dxa"/>
          </w:tcPr>
          <w:p w14:paraId="1FADFEDE" w14:textId="77777777" w:rsidR="00847290" w:rsidRDefault="00847290" w:rsidP="008D5892">
            <w:pPr>
              <w:pStyle w:val="TableText"/>
            </w:pPr>
          </w:p>
        </w:tc>
        <w:tc>
          <w:tcPr>
            <w:tcW w:w="625" w:type="dxa"/>
          </w:tcPr>
          <w:p w14:paraId="711745D7" w14:textId="77777777" w:rsidR="00847290" w:rsidRDefault="00847290" w:rsidP="008D5892">
            <w:pPr>
              <w:pStyle w:val="TableText"/>
            </w:pPr>
          </w:p>
        </w:tc>
        <w:tc>
          <w:tcPr>
            <w:tcW w:w="625" w:type="dxa"/>
          </w:tcPr>
          <w:p w14:paraId="24DF35FA" w14:textId="77777777" w:rsidR="00847290" w:rsidRDefault="00847290" w:rsidP="008D5892">
            <w:pPr>
              <w:pStyle w:val="TableText"/>
            </w:pPr>
          </w:p>
        </w:tc>
        <w:tc>
          <w:tcPr>
            <w:tcW w:w="4646" w:type="dxa"/>
          </w:tcPr>
          <w:p w14:paraId="22268ED0" w14:textId="793677A8" w:rsidR="00847290" w:rsidRDefault="00847290" w:rsidP="008D5892">
            <w:pPr>
              <w:pStyle w:val="TableBlock"/>
              <w:rPr>
                <w:rtl/>
              </w:rPr>
            </w:pPr>
            <w:r w:rsidRPr="004A2FE3">
              <w:rPr>
                <w:rtl/>
              </w:rPr>
              <w:t>(</w:t>
            </w:r>
            <w:r>
              <w:rPr>
                <w:rtl/>
              </w:rPr>
              <w:t>ז</w:t>
            </w:r>
            <w:r w:rsidRPr="004A2FE3">
              <w:rPr>
                <w:rtl/>
              </w:rPr>
              <w:t>)</w:t>
            </w:r>
            <w:r w:rsidRPr="004A2FE3">
              <w:rPr>
                <w:rtl/>
              </w:rPr>
              <w:tab/>
              <w:t xml:space="preserve">יומנאים ומתורגמנים </w:t>
            </w:r>
            <w:r>
              <w:rPr>
                <w:rtl/>
              </w:rPr>
              <w:t>יידרשו להשתתף</w:t>
            </w:r>
            <w:r w:rsidRPr="004A2FE3">
              <w:rPr>
                <w:rtl/>
              </w:rPr>
              <w:t xml:space="preserve"> </w:t>
            </w:r>
            <w:r>
              <w:rPr>
                <w:rtl/>
              </w:rPr>
              <w:t xml:space="preserve">במסלול </w:t>
            </w:r>
            <w:r w:rsidRPr="004A2FE3">
              <w:rPr>
                <w:rtl/>
              </w:rPr>
              <w:t>הכשרה</w:t>
            </w:r>
            <w:r>
              <w:rPr>
                <w:rtl/>
              </w:rPr>
              <w:t>,</w:t>
            </w:r>
            <w:r w:rsidRPr="004A2FE3">
              <w:rPr>
                <w:rtl/>
              </w:rPr>
              <w:t xml:space="preserve"> </w:t>
            </w:r>
            <w:r>
              <w:rPr>
                <w:rtl/>
              </w:rPr>
              <w:t>כפי ש</w:t>
            </w:r>
            <w:r w:rsidRPr="004A2FE3">
              <w:rPr>
                <w:rtl/>
              </w:rPr>
              <w:t>י</w:t>
            </w:r>
            <w:r>
              <w:rPr>
                <w:rFonts w:hint="cs"/>
                <w:rtl/>
              </w:rPr>
              <w:t>י</w:t>
            </w:r>
            <w:r w:rsidR="00347613">
              <w:rPr>
                <w:rtl/>
              </w:rPr>
              <w:t>קבע בתקנות</w:t>
            </w:r>
            <w:r w:rsidRPr="004A2FE3">
              <w:rPr>
                <w:rtl/>
              </w:rPr>
              <w:t xml:space="preserve"> בתוך 90 </w:t>
            </w:r>
            <w:r>
              <w:rPr>
                <w:rFonts w:hint="cs"/>
                <w:rtl/>
              </w:rPr>
              <w:t>ימים</w:t>
            </w:r>
            <w:r w:rsidRPr="004A2FE3">
              <w:rPr>
                <w:rtl/>
              </w:rPr>
              <w:t xml:space="preserve"> </w:t>
            </w:r>
            <w:r>
              <w:rPr>
                <w:rtl/>
              </w:rPr>
              <w:t>מיום התחילה</w:t>
            </w:r>
            <w:r w:rsidRPr="004A2FE3">
              <w:rPr>
                <w:rtl/>
              </w:rPr>
              <w:t>.</w:t>
            </w:r>
          </w:p>
        </w:tc>
      </w:tr>
      <w:tr w:rsidR="00847290" w:rsidRPr="004A2FE3" w14:paraId="7F1BBBE3" w14:textId="77777777" w:rsidTr="00981374">
        <w:trPr>
          <w:cantSplit/>
        </w:trPr>
        <w:tc>
          <w:tcPr>
            <w:tcW w:w="1870" w:type="dxa"/>
          </w:tcPr>
          <w:p w14:paraId="3B49F7B8" w14:textId="77777777" w:rsidR="00847290" w:rsidRPr="007B3E1D" w:rsidRDefault="00847290" w:rsidP="008D5892">
            <w:pPr>
              <w:pStyle w:val="TableSideHeading"/>
              <w:ind w:right="0"/>
            </w:pPr>
          </w:p>
        </w:tc>
        <w:tc>
          <w:tcPr>
            <w:tcW w:w="625" w:type="dxa"/>
          </w:tcPr>
          <w:p w14:paraId="1FB13433" w14:textId="77777777" w:rsidR="00847290" w:rsidRPr="00C820E8" w:rsidRDefault="00847290" w:rsidP="008D5892">
            <w:pPr>
              <w:pStyle w:val="TableText"/>
              <w:ind w:right="0"/>
              <w:jc w:val="both"/>
            </w:pPr>
          </w:p>
        </w:tc>
        <w:tc>
          <w:tcPr>
            <w:tcW w:w="625" w:type="dxa"/>
          </w:tcPr>
          <w:p w14:paraId="6C2C40A5" w14:textId="77777777" w:rsidR="00847290" w:rsidRPr="00C820E8" w:rsidRDefault="00847290" w:rsidP="008D5892">
            <w:pPr>
              <w:pStyle w:val="TableText"/>
              <w:ind w:right="0"/>
              <w:jc w:val="both"/>
            </w:pPr>
          </w:p>
        </w:tc>
        <w:tc>
          <w:tcPr>
            <w:tcW w:w="625" w:type="dxa"/>
          </w:tcPr>
          <w:p w14:paraId="78B8FC04" w14:textId="77777777" w:rsidR="00847290" w:rsidRPr="00C820E8" w:rsidRDefault="00847290" w:rsidP="008D5892">
            <w:pPr>
              <w:pStyle w:val="TableText"/>
              <w:ind w:right="0"/>
              <w:jc w:val="both"/>
            </w:pPr>
          </w:p>
        </w:tc>
        <w:tc>
          <w:tcPr>
            <w:tcW w:w="625" w:type="dxa"/>
          </w:tcPr>
          <w:p w14:paraId="6BA90BE1" w14:textId="77777777" w:rsidR="00847290" w:rsidRPr="00C820E8" w:rsidRDefault="00847290" w:rsidP="008D5892">
            <w:pPr>
              <w:pStyle w:val="TableText"/>
              <w:ind w:right="0"/>
              <w:jc w:val="both"/>
            </w:pPr>
          </w:p>
        </w:tc>
        <w:tc>
          <w:tcPr>
            <w:tcW w:w="625" w:type="dxa"/>
          </w:tcPr>
          <w:p w14:paraId="4F399C44" w14:textId="77777777" w:rsidR="00847290" w:rsidRPr="00C820E8" w:rsidRDefault="00847290" w:rsidP="008D5892">
            <w:pPr>
              <w:pStyle w:val="TableText"/>
              <w:ind w:right="0"/>
              <w:jc w:val="both"/>
            </w:pPr>
          </w:p>
        </w:tc>
        <w:tc>
          <w:tcPr>
            <w:tcW w:w="4646" w:type="dxa"/>
          </w:tcPr>
          <w:p w14:paraId="702CBB56" w14:textId="6AB3C0BC" w:rsidR="00847290" w:rsidRPr="00C820E8" w:rsidRDefault="00847290" w:rsidP="00347613">
            <w:pPr>
              <w:pStyle w:val="TableBlock"/>
            </w:pPr>
            <w:r w:rsidRPr="00C820E8">
              <w:rPr>
                <w:rtl/>
              </w:rPr>
              <w:t>(</w:t>
            </w:r>
            <w:r>
              <w:rPr>
                <w:rtl/>
              </w:rPr>
              <w:t>ח</w:t>
            </w:r>
            <w:r w:rsidRPr="00C820E8">
              <w:rPr>
                <w:rtl/>
              </w:rPr>
              <w:t>)</w:t>
            </w:r>
            <w:r w:rsidRPr="00C820E8">
              <w:rPr>
                <w:rtl/>
              </w:rPr>
              <w:tab/>
            </w:r>
            <w:r w:rsidRPr="003B1E63">
              <w:rPr>
                <w:rtl/>
              </w:rPr>
              <w:t xml:space="preserve">ביישובים </w:t>
            </w:r>
            <w:r>
              <w:rPr>
                <w:rFonts w:hint="cs"/>
                <w:rtl/>
              </w:rPr>
              <w:t>ש</w:t>
            </w:r>
            <w:r w:rsidRPr="003B1E63">
              <w:rPr>
                <w:rtl/>
              </w:rPr>
              <w:t xml:space="preserve">בהם, לפי נתוני </w:t>
            </w:r>
            <w:r w:rsidRPr="00A62A33">
              <w:rPr>
                <w:rFonts w:hint="eastAsia"/>
                <w:rtl/>
              </w:rPr>
              <w:t>ה</w:t>
            </w:r>
            <w:r w:rsidRPr="00A62A33">
              <w:rPr>
                <w:rtl/>
              </w:rPr>
              <w:t>לשכה המרכזית לס</w:t>
            </w:r>
            <w:r w:rsidRPr="00A62A33">
              <w:rPr>
                <w:rFonts w:hint="eastAsia"/>
                <w:rtl/>
              </w:rPr>
              <w:t>ט</w:t>
            </w:r>
            <w:r w:rsidRPr="00A62A33">
              <w:rPr>
                <w:rtl/>
              </w:rPr>
              <w:t>טיסטיקה</w:t>
            </w:r>
            <w:r w:rsidRPr="003B1E63">
              <w:rPr>
                <w:rtl/>
              </w:rPr>
              <w:t xml:space="preserve">, </w:t>
            </w:r>
            <w:r w:rsidRPr="00A62A33">
              <w:rPr>
                <w:rFonts w:hint="eastAsia"/>
                <w:rtl/>
              </w:rPr>
              <w:t>שי</w:t>
            </w:r>
            <w:r w:rsidRPr="00A62A33">
              <w:rPr>
                <w:rtl/>
              </w:rPr>
              <w:t xml:space="preserve">עור </w:t>
            </w:r>
            <w:r w:rsidRPr="00A62A33">
              <w:rPr>
                <w:rFonts w:hint="eastAsia"/>
                <w:rtl/>
              </w:rPr>
              <w:t>הא</w:t>
            </w:r>
            <w:r w:rsidRPr="00A62A33">
              <w:rPr>
                <w:rtl/>
              </w:rPr>
              <w:t>וכלוסייה הע</w:t>
            </w:r>
            <w:r w:rsidR="00347613">
              <w:rPr>
                <w:rtl/>
              </w:rPr>
              <w:t xml:space="preserve">רבית, הרוסית או האתיופית </w:t>
            </w:r>
            <w:r w:rsidR="00347613">
              <w:rPr>
                <w:rFonts w:hint="cs"/>
                <w:rtl/>
              </w:rPr>
              <w:t>גבוה מעשרה אחוזים</w:t>
            </w:r>
            <w:r w:rsidR="001F25B7">
              <w:rPr>
                <w:rFonts w:hint="cs"/>
                <w:rtl/>
              </w:rPr>
              <w:t>,</w:t>
            </w:r>
            <w:r w:rsidRPr="003B1E63">
              <w:rPr>
                <w:rtl/>
              </w:rPr>
              <w:t xml:space="preserve"> תציב המשטרה בתחנות </w:t>
            </w:r>
            <w:r w:rsidRPr="00A62A33">
              <w:rPr>
                <w:rFonts w:hint="eastAsia"/>
                <w:rtl/>
              </w:rPr>
              <w:t>ה</w:t>
            </w:r>
            <w:r w:rsidRPr="00A62A33">
              <w:rPr>
                <w:rtl/>
              </w:rPr>
              <w:t>אזור</w:t>
            </w:r>
            <w:r w:rsidRPr="003B1E63">
              <w:rPr>
                <w:rtl/>
              </w:rPr>
              <w:t xml:space="preserve"> חוקר מוסמך כאמור הדובר את השפה </w:t>
            </w:r>
            <w:r w:rsidRPr="00A62A33">
              <w:rPr>
                <w:rFonts w:hint="eastAsia"/>
                <w:rtl/>
              </w:rPr>
              <w:t>ה</w:t>
            </w:r>
            <w:r w:rsidRPr="00A62A33">
              <w:rPr>
                <w:rtl/>
              </w:rPr>
              <w:t>רלוונטית.</w:t>
            </w:r>
            <w:r w:rsidRPr="00C820E8">
              <w:rPr>
                <w:rtl/>
              </w:rPr>
              <w:t xml:space="preserve"> </w:t>
            </w:r>
          </w:p>
        </w:tc>
      </w:tr>
      <w:tr w:rsidR="00847290" w:rsidRPr="004A2FE3" w14:paraId="17299739" w14:textId="77777777" w:rsidTr="00981374">
        <w:trPr>
          <w:cantSplit/>
        </w:trPr>
        <w:tc>
          <w:tcPr>
            <w:tcW w:w="1870" w:type="dxa"/>
          </w:tcPr>
          <w:p w14:paraId="6603F803" w14:textId="77777777" w:rsidR="00847290" w:rsidRPr="0062648D" w:rsidRDefault="00847290" w:rsidP="008D5892">
            <w:pPr>
              <w:pStyle w:val="TableSideHeading"/>
              <w:ind w:right="0"/>
            </w:pPr>
          </w:p>
        </w:tc>
        <w:tc>
          <w:tcPr>
            <w:tcW w:w="625" w:type="dxa"/>
          </w:tcPr>
          <w:p w14:paraId="414E715E" w14:textId="77777777" w:rsidR="00847290" w:rsidRPr="00C820E8" w:rsidRDefault="00847290" w:rsidP="008D5892">
            <w:pPr>
              <w:pStyle w:val="TableText"/>
              <w:ind w:right="0"/>
              <w:jc w:val="both"/>
            </w:pPr>
          </w:p>
        </w:tc>
        <w:tc>
          <w:tcPr>
            <w:tcW w:w="625" w:type="dxa"/>
          </w:tcPr>
          <w:p w14:paraId="795FFAA9" w14:textId="77777777" w:rsidR="00847290" w:rsidRPr="00C820E8" w:rsidRDefault="00847290" w:rsidP="008D5892">
            <w:pPr>
              <w:pStyle w:val="TableText"/>
              <w:ind w:right="0"/>
              <w:jc w:val="both"/>
            </w:pPr>
          </w:p>
        </w:tc>
        <w:tc>
          <w:tcPr>
            <w:tcW w:w="625" w:type="dxa"/>
          </w:tcPr>
          <w:p w14:paraId="72202B97" w14:textId="77777777" w:rsidR="00847290" w:rsidRPr="00C820E8" w:rsidRDefault="00847290" w:rsidP="008D5892">
            <w:pPr>
              <w:pStyle w:val="TableText"/>
              <w:ind w:right="0"/>
              <w:jc w:val="both"/>
            </w:pPr>
          </w:p>
        </w:tc>
        <w:tc>
          <w:tcPr>
            <w:tcW w:w="625" w:type="dxa"/>
          </w:tcPr>
          <w:p w14:paraId="573525FB" w14:textId="77777777" w:rsidR="00847290" w:rsidRPr="00C820E8" w:rsidRDefault="00847290" w:rsidP="008D5892">
            <w:pPr>
              <w:pStyle w:val="TableText"/>
              <w:ind w:right="0"/>
              <w:jc w:val="both"/>
            </w:pPr>
          </w:p>
        </w:tc>
        <w:tc>
          <w:tcPr>
            <w:tcW w:w="625" w:type="dxa"/>
          </w:tcPr>
          <w:p w14:paraId="2CFEFE34" w14:textId="77777777" w:rsidR="00847290" w:rsidRPr="00C820E8" w:rsidRDefault="00847290" w:rsidP="008D5892">
            <w:pPr>
              <w:pStyle w:val="TableText"/>
              <w:ind w:right="0"/>
              <w:jc w:val="both"/>
            </w:pPr>
          </w:p>
        </w:tc>
        <w:tc>
          <w:tcPr>
            <w:tcW w:w="4646" w:type="dxa"/>
          </w:tcPr>
          <w:p w14:paraId="4D6AD992" w14:textId="77777777" w:rsidR="00847290" w:rsidRPr="00C820E8" w:rsidRDefault="00847290" w:rsidP="008D5892">
            <w:pPr>
              <w:pStyle w:val="TableBlock"/>
              <w:rPr>
                <w:rtl/>
              </w:rPr>
            </w:pPr>
            <w:r w:rsidRPr="00C820E8">
              <w:rPr>
                <w:rtl/>
              </w:rPr>
              <w:t>(</w:t>
            </w:r>
            <w:r>
              <w:rPr>
                <w:rFonts w:hint="cs"/>
                <w:rtl/>
              </w:rPr>
              <w:t>ט</w:t>
            </w:r>
            <w:r w:rsidRPr="00C820E8">
              <w:rPr>
                <w:rtl/>
              </w:rPr>
              <w:t>)</w:t>
            </w:r>
            <w:r w:rsidRPr="00C820E8">
              <w:rPr>
                <w:rtl/>
              </w:rPr>
              <w:tab/>
            </w:r>
            <w:r>
              <w:rPr>
                <w:rtl/>
              </w:rPr>
              <w:t>ראש מחלקת החקירות בתחנה י</w:t>
            </w:r>
            <w:r w:rsidRPr="00C820E8">
              <w:rPr>
                <w:rtl/>
              </w:rPr>
              <w:t xml:space="preserve">וודא כי </w:t>
            </w:r>
            <w:r>
              <w:rPr>
                <w:rtl/>
              </w:rPr>
              <w:t xml:space="preserve">כל נפגע עבירה </w:t>
            </w:r>
            <w:r>
              <w:rPr>
                <w:rFonts w:hint="cs"/>
                <w:rtl/>
              </w:rPr>
              <w:t>י</w:t>
            </w:r>
            <w:r w:rsidRPr="00C820E8">
              <w:rPr>
                <w:rtl/>
              </w:rPr>
              <w:t>קבל</w:t>
            </w:r>
            <w:r>
              <w:rPr>
                <w:rtl/>
              </w:rPr>
              <w:t xml:space="preserve"> </w:t>
            </w:r>
            <w:r w:rsidRPr="00C820E8">
              <w:rPr>
                <w:rtl/>
              </w:rPr>
              <w:t>את כל המידע אודות זכויותי</w:t>
            </w:r>
            <w:r>
              <w:rPr>
                <w:rtl/>
              </w:rPr>
              <w:t>ו</w:t>
            </w:r>
            <w:r w:rsidRPr="00C820E8">
              <w:rPr>
                <w:rtl/>
              </w:rPr>
              <w:t xml:space="preserve">, </w:t>
            </w:r>
            <w:r>
              <w:rPr>
                <w:rtl/>
              </w:rPr>
              <w:t xml:space="preserve">מידע אודות </w:t>
            </w:r>
            <w:r w:rsidRPr="00C820E8">
              <w:rPr>
                <w:rtl/>
              </w:rPr>
              <w:t>גורמים אליהם ה</w:t>
            </w:r>
            <w:r>
              <w:rPr>
                <w:rtl/>
              </w:rPr>
              <w:t>ו</w:t>
            </w:r>
            <w:r w:rsidRPr="00C820E8">
              <w:rPr>
                <w:rtl/>
              </w:rPr>
              <w:t>א יכול לפנות לקבלת סיוע</w:t>
            </w:r>
            <w:r>
              <w:rPr>
                <w:rtl/>
              </w:rPr>
              <w:t xml:space="preserve"> ומידע אודות </w:t>
            </w:r>
            <w:r w:rsidRPr="00C820E8">
              <w:rPr>
                <w:rtl/>
              </w:rPr>
              <w:t>ההליך החקירתי ש</w:t>
            </w:r>
            <w:r>
              <w:rPr>
                <w:rFonts w:hint="cs"/>
                <w:rtl/>
              </w:rPr>
              <w:t xml:space="preserve">הוא </w:t>
            </w:r>
            <w:r w:rsidRPr="00C820E8">
              <w:rPr>
                <w:rtl/>
              </w:rPr>
              <w:t>עתיד לעבור</w:t>
            </w:r>
            <w:r>
              <w:rPr>
                <w:rtl/>
              </w:rPr>
              <w:t>.</w:t>
            </w:r>
          </w:p>
        </w:tc>
      </w:tr>
      <w:tr w:rsidR="00847290" w:rsidRPr="004A2FE3" w14:paraId="285FF0FD" w14:textId="77777777" w:rsidTr="00981374">
        <w:trPr>
          <w:cantSplit/>
        </w:trPr>
        <w:tc>
          <w:tcPr>
            <w:tcW w:w="1870" w:type="dxa"/>
          </w:tcPr>
          <w:p w14:paraId="319B2FBD" w14:textId="77777777" w:rsidR="00847290" w:rsidRPr="00C820E8" w:rsidRDefault="00847290" w:rsidP="008D5892">
            <w:pPr>
              <w:pStyle w:val="TableSideHeading"/>
              <w:ind w:right="0"/>
            </w:pPr>
          </w:p>
        </w:tc>
        <w:tc>
          <w:tcPr>
            <w:tcW w:w="625" w:type="dxa"/>
          </w:tcPr>
          <w:p w14:paraId="29832AD2" w14:textId="77777777" w:rsidR="00847290" w:rsidRPr="00C820E8" w:rsidRDefault="00847290" w:rsidP="008D5892">
            <w:pPr>
              <w:pStyle w:val="TableText"/>
              <w:ind w:right="0"/>
              <w:jc w:val="both"/>
            </w:pPr>
          </w:p>
        </w:tc>
        <w:tc>
          <w:tcPr>
            <w:tcW w:w="625" w:type="dxa"/>
          </w:tcPr>
          <w:p w14:paraId="280E86DE" w14:textId="77777777" w:rsidR="00847290" w:rsidRPr="00C820E8" w:rsidRDefault="00847290" w:rsidP="008D5892">
            <w:pPr>
              <w:pStyle w:val="TableText"/>
              <w:ind w:right="0"/>
              <w:jc w:val="both"/>
            </w:pPr>
          </w:p>
        </w:tc>
        <w:tc>
          <w:tcPr>
            <w:tcW w:w="625" w:type="dxa"/>
          </w:tcPr>
          <w:p w14:paraId="5058BE8D" w14:textId="77777777" w:rsidR="00847290" w:rsidRPr="00C820E8" w:rsidRDefault="00847290" w:rsidP="008D5892">
            <w:pPr>
              <w:pStyle w:val="TableText"/>
              <w:ind w:right="0"/>
              <w:jc w:val="both"/>
            </w:pPr>
          </w:p>
        </w:tc>
        <w:tc>
          <w:tcPr>
            <w:tcW w:w="625" w:type="dxa"/>
          </w:tcPr>
          <w:p w14:paraId="77930122" w14:textId="77777777" w:rsidR="00847290" w:rsidRPr="00C820E8" w:rsidRDefault="00847290" w:rsidP="008D5892">
            <w:pPr>
              <w:pStyle w:val="TableText"/>
              <w:ind w:right="0"/>
              <w:jc w:val="both"/>
            </w:pPr>
          </w:p>
        </w:tc>
        <w:tc>
          <w:tcPr>
            <w:tcW w:w="625" w:type="dxa"/>
          </w:tcPr>
          <w:p w14:paraId="5D9F745B" w14:textId="77777777" w:rsidR="00847290" w:rsidRPr="00C820E8" w:rsidRDefault="00847290" w:rsidP="008D5892">
            <w:pPr>
              <w:pStyle w:val="TableText"/>
              <w:ind w:right="0"/>
              <w:jc w:val="both"/>
            </w:pPr>
          </w:p>
        </w:tc>
        <w:tc>
          <w:tcPr>
            <w:tcW w:w="4646" w:type="dxa"/>
          </w:tcPr>
          <w:p w14:paraId="493F9C67" w14:textId="77777777" w:rsidR="00847290" w:rsidRPr="00C820E8" w:rsidRDefault="00847290" w:rsidP="008D5892">
            <w:pPr>
              <w:pStyle w:val="TableBlock"/>
              <w:rPr>
                <w:rtl/>
              </w:rPr>
            </w:pPr>
            <w:r w:rsidRPr="00C820E8">
              <w:rPr>
                <w:rtl/>
              </w:rPr>
              <w:t>(י)</w:t>
            </w:r>
            <w:r w:rsidRPr="00C820E8">
              <w:rPr>
                <w:rtl/>
              </w:rPr>
              <w:tab/>
              <w:t>בכל תחנ</w:t>
            </w:r>
            <w:r>
              <w:rPr>
                <w:rtl/>
              </w:rPr>
              <w:t xml:space="preserve">ה של הגוף החוקר </w:t>
            </w:r>
            <w:r w:rsidRPr="00C820E8">
              <w:rPr>
                <w:rtl/>
              </w:rPr>
              <w:t xml:space="preserve">יוצגו, במקום בולט, </w:t>
            </w:r>
            <w:r>
              <w:rPr>
                <w:rtl/>
              </w:rPr>
              <w:t>שלטים</w:t>
            </w:r>
            <w:r w:rsidRPr="00C820E8">
              <w:rPr>
                <w:rtl/>
              </w:rPr>
              <w:t xml:space="preserve">, בשפה פשוטה וברורה </w:t>
            </w:r>
            <w:r>
              <w:rPr>
                <w:rFonts w:hint="cs"/>
                <w:rtl/>
              </w:rPr>
              <w:t xml:space="preserve">בדבר </w:t>
            </w:r>
            <w:r w:rsidRPr="00C820E8">
              <w:rPr>
                <w:rtl/>
              </w:rPr>
              <w:t>זכוי</w:t>
            </w:r>
            <w:r>
              <w:rPr>
                <w:rtl/>
              </w:rPr>
              <w:t>ות המתלוננים וחובות אנשי המשטרה</w:t>
            </w:r>
            <w:r>
              <w:rPr>
                <w:rFonts w:hint="cs"/>
                <w:rtl/>
              </w:rPr>
              <w:t>;</w:t>
            </w:r>
            <w:r w:rsidRPr="00C820E8">
              <w:rPr>
                <w:rtl/>
              </w:rPr>
              <w:t xml:space="preserve"> </w:t>
            </w:r>
            <w:r>
              <w:rPr>
                <w:rtl/>
              </w:rPr>
              <w:t>השלטים</w:t>
            </w:r>
            <w:r w:rsidRPr="00C820E8">
              <w:rPr>
                <w:rtl/>
              </w:rPr>
              <w:t xml:space="preserve"> י</w:t>
            </w:r>
            <w:r>
              <w:rPr>
                <w:rFonts w:hint="cs"/>
                <w:rtl/>
              </w:rPr>
              <w:t>י</w:t>
            </w:r>
            <w:r>
              <w:rPr>
                <w:rtl/>
              </w:rPr>
              <w:t>כתבו בשפות</w:t>
            </w:r>
            <w:r w:rsidRPr="00C820E8">
              <w:rPr>
                <w:rtl/>
              </w:rPr>
              <w:t xml:space="preserve"> עברית, ערבית, רוסית, אמהרית, אנגלית וצרפתית.</w:t>
            </w:r>
            <w:r>
              <w:rPr>
                <w:rFonts w:hint="cs"/>
                <w:rtl/>
              </w:rPr>
              <w:t>"</w:t>
            </w:r>
            <w:r w:rsidRPr="00C820E8">
              <w:rPr>
                <w:rtl/>
              </w:rPr>
              <w:t xml:space="preserve"> </w:t>
            </w:r>
          </w:p>
        </w:tc>
      </w:tr>
    </w:tbl>
    <w:p w14:paraId="7F6961CA" w14:textId="77777777" w:rsidR="002D1EE3" w:rsidRDefault="002D1EE3" w:rsidP="002D1EE3">
      <w:pPr>
        <w:pStyle w:val="HeadDivreiHesber"/>
        <w:rPr>
          <w:rtl/>
        </w:rPr>
      </w:pPr>
      <w:r w:rsidRPr="0027450A">
        <w:rPr>
          <w:rFonts w:hint="cs"/>
          <w:rtl/>
        </w:rPr>
        <w:t>דברי הסבר</w:t>
      </w:r>
    </w:p>
    <w:p w14:paraId="52A47912" w14:textId="64D707D8" w:rsidR="00847290" w:rsidRPr="00981374" w:rsidRDefault="00847290" w:rsidP="00347613">
      <w:pPr>
        <w:pStyle w:val="Hesber"/>
        <w:rPr>
          <w:rtl/>
        </w:rPr>
      </w:pPr>
      <w:r w:rsidRPr="00981374">
        <w:rPr>
          <w:rtl/>
        </w:rPr>
        <w:t xml:space="preserve">מוצע לעגן </w:t>
      </w:r>
      <w:r w:rsidR="00347613">
        <w:rPr>
          <w:rFonts w:hint="cs"/>
          <w:rtl/>
        </w:rPr>
        <w:t>בחוק</w:t>
      </w:r>
      <w:r w:rsidRPr="00981374">
        <w:rPr>
          <w:rtl/>
        </w:rPr>
        <w:t xml:space="preserve"> את הכשרתם הייחודית של חוקרי עבירות מין ואלימות במשפחה</w:t>
      </w:r>
      <w:r w:rsidR="005F2EC5">
        <w:rPr>
          <w:rtl/>
        </w:rPr>
        <w:t xml:space="preserve">. זאת, </w:t>
      </w:r>
      <w:r w:rsidR="0070713A">
        <w:rPr>
          <w:rtl/>
        </w:rPr>
        <w:t>בשל המאפיינים הייחודיים</w:t>
      </w:r>
      <w:r w:rsidR="0070713A">
        <w:rPr>
          <w:rFonts w:hint="cs"/>
          <w:rtl/>
        </w:rPr>
        <w:t xml:space="preserve"> של </w:t>
      </w:r>
      <w:r w:rsidRPr="00981374">
        <w:rPr>
          <w:rtl/>
        </w:rPr>
        <w:t xml:space="preserve">עבירות אלה ובשל הצורך ברגישות מוגברת כלפי נפגעי </w:t>
      </w:r>
      <w:r w:rsidR="0070713A">
        <w:rPr>
          <w:rFonts w:hint="cs"/>
          <w:rtl/>
        </w:rPr>
        <w:t>ה</w:t>
      </w:r>
      <w:r w:rsidRPr="00981374">
        <w:rPr>
          <w:rtl/>
        </w:rPr>
        <w:t xml:space="preserve">עבירות המחליטים לפנות למשטרה בצל לחצים, תחושות חרדה ופחד מפגיעה אפשרית על ידי בן משפחה או על ידי פוגע אחר. </w:t>
      </w:r>
    </w:p>
    <w:p w14:paraId="0AC58281" w14:textId="26F256C7" w:rsidR="00847290" w:rsidRPr="00981374" w:rsidRDefault="00847290" w:rsidP="0070713A">
      <w:pPr>
        <w:pStyle w:val="Hesber"/>
        <w:rPr>
          <w:rtl/>
        </w:rPr>
      </w:pPr>
      <w:r w:rsidRPr="00981374">
        <w:rPr>
          <w:rtl/>
        </w:rPr>
        <w:t xml:space="preserve">לפיכך, מוצע להוסיף את סעיף 13א לחוק זכויות נפגעי עבירה, התשס"א–2001, ולקבוע שחקירת נפגעי עבירות מין ואלימות במשפחה </w:t>
      </w:r>
      <w:r w:rsidR="0070713A">
        <w:rPr>
          <w:rFonts w:hint="cs"/>
          <w:rtl/>
        </w:rPr>
        <w:t>תתבצע</w:t>
      </w:r>
      <w:r w:rsidRPr="00981374">
        <w:rPr>
          <w:rtl/>
        </w:rPr>
        <w:t xml:space="preserve"> רק על ידי חוקרים שעברו הכשרה ובחינת הסמכה בנושא עבירות מין ואלימות במשפחה וכן לקבוע חובת הנגשה תרבותית המשתנה מתחנה לתחנה בהתאם לקהילה שתחנת המשטרה משרתת. </w:t>
      </w:r>
    </w:p>
    <w:p w14:paraId="562C55F8" w14:textId="77777777" w:rsidR="00847290" w:rsidRPr="00981374" w:rsidRDefault="00847290" w:rsidP="00981374">
      <w:pPr>
        <w:pStyle w:val="Hesber"/>
        <w:rPr>
          <w:rtl/>
        </w:rPr>
      </w:pPr>
      <w:r w:rsidRPr="00981374">
        <w:rPr>
          <w:rtl/>
        </w:rPr>
        <w:t xml:space="preserve">עוד מוצע כי מערך ההכשרה יהיה מלווה על ידי ארגוני זכויות, מאחר שהם בעלי רגישות מוגברת לסוגיות המטופלות ומוצע כי ארגונים אלה ייבחרו בהתאם לצרכים התרבותיים או הלאומיים של אוכלוסיית היעד. כמו כן, מומלץ שהכשרות אלו ילוו על ידי ארגונים המומחים להנגשה תרבותית. </w:t>
      </w:r>
    </w:p>
    <w:p w14:paraId="7DEAF364" w14:textId="48D608EE" w:rsidR="00847290" w:rsidRPr="00981374" w:rsidRDefault="00847290" w:rsidP="00347613">
      <w:pPr>
        <w:pStyle w:val="Hesber"/>
        <w:rPr>
          <w:rtl/>
        </w:rPr>
      </w:pPr>
      <w:r w:rsidRPr="00981374">
        <w:rPr>
          <w:rtl/>
        </w:rPr>
        <w:t>בנוסף, מוצע להבטיח נוכחות חוקר</w:t>
      </w:r>
      <w:r w:rsidR="0070713A">
        <w:rPr>
          <w:rFonts w:hint="cs"/>
          <w:rtl/>
        </w:rPr>
        <w:t>ים</w:t>
      </w:r>
      <w:r w:rsidRPr="00981374">
        <w:rPr>
          <w:rtl/>
        </w:rPr>
        <w:t xml:space="preserve"> דוברי השפות הרלוונטיות, </w:t>
      </w:r>
      <w:r w:rsidR="00347613">
        <w:rPr>
          <w:rtl/>
        </w:rPr>
        <w:t>שעברו הכשרה ובחינת הסמכה כאמור</w:t>
      </w:r>
      <w:r w:rsidR="00347613">
        <w:rPr>
          <w:rFonts w:hint="cs"/>
          <w:rtl/>
        </w:rPr>
        <w:t>.</w:t>
      </w:r>
    </w:p>
    <w:p w14:paraId="39883D89" w14:textId="47D04BB1" w:rsidR="00847290" w:rsidRPr="00981374" w:rsidRDefault="00847290" w:rsidP="001F25B7">
      <w:pPr>
        <w:pStyle w:val="Hesber"/>
        <w:rPr>
          <w:rtl/>
        </w:rPr>
      </w:pPr>
      <w:r w:rsidRPr="00981374">
        <w:rPr>
          <w:rtl/>
        </w:rPr>
        <w:t>נוסף על כך</w:t>
      </w:r>
      <w:r w:rsidR="001F25B7">
        <w:rPr>
          <w:rFonts w:hint="cs"/>
          <w:rtl/>
        </w:rPr>
        <w:t>,</w:t>
      </w:r>
      <w:r w:rsidRPr="00981374">
        <w:rPr>
          <w:rtl/>
        </w:rPr>
        <w:t xml:space="preserve"> מומלץ להתאים הכשרה זו למאפיינים תרבותיים ולאומיים של קבוצות הנמצאות בסיכון </w:t>
      </w:r>
      <w:r w:rsidRPr="00981374">
        <w:rPr>
          <w:rtl/>
        </w:rPr>
        <w:lastRenderedPageBreak/>
        <w:t>מיוחד כגו</w:t>
      </w:r>
      <w:r w:rsidR="001F25B7">
        <w:rPr>
          <w:rtl/>
        </w:rPr>
        <w:t>ן נשים ערביות, רוסיות ואתיופיות</w:t>
      </w:r>
      <w:r w:rsidR="001F25B7">
        <w:rPr>
          <w:rFonts w:hint="cs"/>
          <w:rtl/>
        </w:rPr>
        <w:t xml:space="preserve"> ו</w:t>
      </w:r>
      <w:r w:rsidRPr="00981374">
        <w:rPr>
          <w:rtl/>
        </w:rPr>
        <w:t xml:space="preserve">אוכלוסיית מהגרים ופליטים אשר </w:t>
      </w:r>
      <w:r w:rsidR="0070713A">
        <w:rPr>
          <w:rFonts w:hint="cs"/>
          <w:rtl/>
        </w:rPr>
        <w:t>בקרבן</w:t>
      </w:r>
      <w:r w:rsidRPr="00981374">
        <w:rPr>
          <w:rtl/>
        </w:rPr>
        <w:t xml:space="preserve"> אחוזי האלימות גבוהים במיוחד.</w:t>
      </w:r>
    </w:p>
    <w:p w14:paraId="3AAD9480" w14:textId="44C92CB9" w:rsidR="00847290" w:rsidRPr="00981374" w:rsidRDefault="00847290" w:rsidP="00981374">
      <w:pPr>
        <w:pStyle w:val="Hesber"/>
        <w:rPr>
          <w:rtl/>
        </w:rPr>
      </w:pPr>
      <w:r w:rsidRPr="00981374">
        <w:rPr>
          <w:rtl/>
        </w:rPr>
        <w:t>יודגש כי נהלי משטרת ישראל מגדירים במעומעם את ההכשרות וההסמכות הנדרשות לשוטרים המטפלים בתלונות של נפגעי עבירה. יתר על כן, יומנאים ואף מתורגמנים העוסקים במתן מידע בסיסי</w:t>
      </w:r>
      <w:r w:rsidR="00347613">
        <w:rPr>
          <w:rtl/>
        </w:rPr>
        <w:t xml:space="preserve"> בנושא אינם עוברים הכשרה כלשהי</w:t>
      </w:r>
      <w:r w:rsidRPr="00981374">
        <w:rPr>
          <w:rtl/>
        </w:rPr>
        <w:t>.</w:t>
      </w:r>
    </w:p>
    <w:p w14:paraId="3026C346" w14:textId="0D2BC7DF" w:rsidR="00847290" w:rsidRPr="00981374" w:rsidRDefault="00847290" w:rsidP="00347613">
      <w:pPr>
        <w:pStyle w:val="Hesber"/>
        <w:rPr>
          <w:rtl/>
        </w:rPr>
      </w:pPr>
      <w:r w:rsidRPr="00981374">
        <w:rPr>
          <w:rtl/>
        </w:rPr>
        <w:t>לאור אלה</w:t>
      </w:r>
      <w:r w:rsidR="0070713A">
        <w:rPr>
          <w:rFonts w:hint="cs"/>
          <w:rtl/>
        </w:rPr>
        <w:t>,</w:t>
      </w:r>
      <w:r w:rsidRPr="00981374">
        <w:rPr>
          <w:rtl/>
        </w:rPr>
        <w:t xml:space="preserve"> </w:t>
      </w:r>
      <w:r w:rsidR="00347613">
        <w:rPr>
          <w:rFonts w:hint="cs"/>
          <w:rtl/>
        </w:rPr>
        <w:t>מוצע להסדיר</w:t>
      </w:r>
      <w:r w:rsidRPr="00981374">
        <w:rPr>
          <w:rtl/>
        </w:rPr>
        <w:t xml:space="preserve"> לא רק את דרכי ההכשרה וההסמכה של השוטרים אלא גם </w:t>
      </w:r>
      <w:r w:rsidR="00347613">
        <w:rPr>
          <w:rFonts w:hint="cs"/>
          <w:rtl/>
        </w:rPr>
        <w:t>לחייב</w:t>
      </w:r>
      <w:r w:rsidRPr="00981374">
        <w:rPr>
          <w:rtl/>
        </w:rPr>
        <w:t xml:space="preserve"> את משטרת ישראל לנהל דרך קבע, רישום מדוקדק שיאפשר לאתר, בתוך זמן קצר, בכל תחנה ברחבי הארץ את השוטרים המוסמכים לטפל בתלונות נפגעי עבירה. </w:t>
      </w:r>
    </w:p>
    <w:p w14:paraId="5A1E26ED" w14:textId="55E1B998" w:rsidR="00847290" w:rsidRPr="00981374" w:rsidRDefault="00847290" w:rsidP="00981374">
      <w:pPr>
        <w:pStyle w:val="Hesber"/>
        <w:rPr>
          <w:rtl/>
        </w:rPr>
      </w:pPr>
      <w:r w:rsidRPr="00981374">
        <w:rPr>
          <w:rtl/>
        </w:rPr>
        <w:t>לראשונה, מוצעת התייחסות רב תרבותית גם למתורגמנים, אשר במקרים רבים הם חלק בלתי נפרד מהליך קבלת התלונ</w:t>
      </w:r>
      <w:r w:rsidR="00347613">
        <w:rPr>
          <w:rtl/>
        </w:rPr>
        <w:t>ה אך אינם עוברים הכשרה מעשית כל</w:t>
      </w:r>
      <w:r w:rsidRPr="00981374">
        <w:rPr>
          <w:rtl/>
        </w:rPr>
        <w:t xml:space="preserve">שהי, וכמו כן מוצע לחייב את השוטרים המוסמכים לעבור טיפול רגשי שוטף על מנת להקל עליהם להתמודד עם הלחץ הרגשי שהם נאלצים להתמודד עמו בעת קבלת התלונות. </w:t>
      </w:r>
    </w:p>
    <w:p w14:paraId="51C82B69" w14:textId="77777777" w:rsidR="00847290" w:rsidRPr="00981374" w:rsidRDefault="00847290" w:rsidP="00981374">
      <w:pPr>
        <w:pStyle w:val="Hesber"/>
        <w:rPr>
          <w:rtl/>
        </w:rPr>
      </w:pPr>
      <w:r w:rsidRPr="00981374">
        <w:rPr>
          <w:rtl/>
        </w:rPr>
        <w:t xml:space="preserve">עוד מוצע כי בכל תחנת משטרה תופיע, במקום בולט בשפה פשוטה וברורה ובמספר שפות, כרזה גדולה אשר תבהיר הן לנפגעים הבאים להתלונן והן לשוטרים האמורים לטפל במתלוננים, את זכויותיהם ואת חובות אנשי המשטרה. </w:t>
      </w:r>
    </w:p>
    <w:p w14:paraId="073648C5" w14:textId="7B8481D5" w:rsidR="00847290" w:rsidRPr="00981374" w:rsidRDefault="00847290" w:rsidP="00347613">
      <w:pPr>
        <w:pStyle w:val="Hesber"/>
        <w:rPr>
          <w:rtl/>
        </w:rPr>
      </w:pPr>
      <w:r w:rsidRPr="00981374">
        <w:rPr>
          <w:rtl/>
        </w:rPr>
        <w:t xml:space="preserve">הצעת החוק נכתבה בסיוע סטודנטים בקליניקה לשינוי מדיניות </w:t>
      </w:r>
      <w:r w:rsidR="00347613">
        <w:rPr>
          <w:rFonts w:hint="cs"/>
          <w:rtl/>
        </w:rPr>
        <w:t xml:space="preserve">בבית הספר </w:t>
      </w:r>
      <w:r w:rsidRPr="00981374">
        <w:rPr>
          <w:rtl/>
        </w:rPr>
        <w:t>לעבודה סוציאלית בתל אביב ובשיתוף עמותת "ידיד" – מרכזי זכויות בקהילה.</w:t>
      </w:r>
    </w:p>
    <w:p w14:paraId="7F6961CB" w14:textId="2F758653" w:rsidR="00E13C27" w:rsidRDefault="00847290" w:rsidP="00347613">
      <w:pPr>
        <w:pStyle w:val="Hesber"/>
        <w:rPr>
          <w:rtl/>
        </w:rPr>
      </w:pPr>
      <w:r>
        <w:rPr>
          <w:rFonts w:hint="cs"/>
          <w:rtl/>
        </w:rPr>
        <w:t xml:space="preserve">הצעת חוק זהה </w:t>
      </w:r>
      <w:r w:rsidR="00981374">
        <w:rPr>
          <w:rFonts w:hint="cs"/>
          <w:rtl/>
        </w:rPr>
        <w:t>הונחה על שולחן הכנסת העשרים על ידי חבר הכנסת מיקי לוי</w:t>
      </w:r>
      <w:r>
        <w:rPr>
          <w:rFonts w:hint="cs"/>
          <w:rtl/>
        </w:rPr>
        <w:t xml:space="preserve"> </w:t>
      </w:r>
      <w:r w:rsidR="00981374">
        <w:rPr>
          <w:rFonts w:hint="cs"/>
          <w:rtl/>
        </w:rPr>
        <w:t>(</w:t>
      </w:r>
      <w:r w:rsidR="00347613">
        <w:rPr>
          <w:rFonts w:hint="cs"/>
          <w:rtl/>
        </w:rPr>
        <w:t>פ/3435/20)</w:t>
      </w:r>
      <w:r w:rsidR="00981374">
        <w:rPr>
          <w:rFonts w:hint="cs"/>
          <w:rtl/>
        </w:rPr>
        <w:t xml:space="preserve">; </w:t>
      </w:r>
      <w:r>
        <w:rPr>
          <w:rFonts w:hint="cs"/>
          <w:rtl/>
        </w:rPr>
        <w:t xml:space="preserve">הוסרה </w:t>
      </w:r>
      <w:r w:rsidR="00981374">
        <w:rPr>
          <w:rFonts w:hint="cs"/>
          <w:rtl/>
        </w:rPr>
        <w:t>מסדר היום</w:t>
      </w:r>
      <w:r>
        <w:rPr>
          <w:rFonts w:hint="cs"/>
          <w:rtl/>
        </w:rPr>
        <w:t xml:space="preserve"> ביום כ' בטבת </w:t>
      </w:r>
      <w:r w:rsidR="00981374">
        <w:rPr>
          <w:rFonts w:hint="cs"/>
          <w:rtl/>
        </w:rPr>
        <w:t>ה</w:t>
      </w:r>
      <w:r>
        <w:rPr>
          <w:rFonts w:hint="cs"/>
          <w:rtl/>
        </w:rPr>
        <w:t xml:space="preserve">תשע"ז </w:t>
      </w:r>
      <w:r w:rsidR="00981374">
        <w:rPr>
          <w:rFonts w:hint="cs"/>
          <w:rtl/>
        </w:rPr>
        <w:t>(18 בינואר 2017)).</w:t>
      </w:r>
    </w:p>
    <w:p w14:paraId="224A592D" w14:textId="14DF571F" w:rsidR="004946B4" w:rsidRDefault="004946B4" w:rsidP="00347613">
      <w:pPr>
        <w:pStyle w:val="Hesber"/>
        <w:rPr>
          <w:rtl/>
        </w:rPr>
      </w:pPr>
    </w:p>
    <w:p w14:paraId="6B757A3D" w14:textId="77777777" w:rsidR="004946B4" w:rsidRDefault="004946B4" w:rsidP="00347613">
      <w:pPr>
        <w:pStyle w:val="Hesber"/>
        <w:rPr>
          <w:rtl/>
        </w:rPr>
      </w:pPr>
    </w:p>
    <w:p w14:paraId="1AC55C51" w14:textId="77777777" w:rsidR="004946B4" w:rsidRPr="00D73212" w:rsidRDefault="004946B4" w:rsidP="004946B4">
      <w:pPr>
        <w:pStyle w:val="Hesber"/>
        <w:rPr>
          <w:color w:val="auto"/>
          <w:rtl/>
          <w:lang w:eastAsia="en-US"/>
        </w:rPr>
      </w:pPr>
      <w:r w:rsidRPr="00D73212">
        <w:rPr>
          <w:color w:val="auto"/>
          <w:rtl/>
          <w:lang w:eastAsia="en-US"/>
        </w:rPr>
        <w:t>---------------------------------</w:t>
      </w:r>
    </w:p>
    <w:p w14:paraId="20734C32" w14:textId="77777777" w:rsidR="004946B4" w:rsidRPr="00D73212" w:rsidRDefault="004946B4" w:rsidP="004946B4">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023ED98F" w14:textId="77777777" w:rsidR="004946B4" w:rsidRPr="00D73212" w:rsidRDefault="004946B4" w:rsidP="004946B4">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402CE9B0" w14:textId="77777777" w:rsidR="004946B4" w:rsidRPr="00317312" w:rsidRDefault="004946B4" w:rsidP="004946B4">
      <w:pPr>
        <w:pStyle w:val="Hesber"/>
      </w:pPr>
      <w:r>
        <w:rPr>
          <w:rFonts w:hint="cs"/>
          <w:color w:val="auto"/>
          <w:rtl/>
          <w:lang w:eastAsia="en-US"/>
        </w:rPr>
        <w:t>ג' בשבט</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ז</w:t>
      </w:r>
      <w:r w:rsidRPr="00D73212">
        <w:rPr>
          <w:color w:val="auto"/>
          <w:rtl/>
          <w:lang w:eastAsia="en-US"/>
        </w:rPr>
        <w:t xml:space="preserve"> – </w:t>
      </w:r>
      <w:r>
        <w:rPr>
          <w:rFonts w:hint="cs"/>
          <w:color w:val="auto"/>
          <w:rtl/>
          <w:lang w:eastAsia="en-US"/>
        </w:rPr>
        <w:t>30.1</w:t>
      </w:r>
      <w:r w:rsidRPr="00D73212">
        <w:rPr>
          <w:color w:val="auto"/>
          <w:rtl/>
          <w:lang w:eastAsia="en-US"/>
        </w:rPr>
        <w:t>.</w:t>
      </w:r>
      <w:r>
        <w:rPr>
          <w:rFonts w:hint="cs"/>
          <w:color w:val="auto"/>
          <w:rtl/>
          <w:lang w:eastAsia="en-US"/>
        </w:rPr>
        <w:t>17</w:t>
      </w:r>
    </w:p>
    <w:p w14:paraId="001D2B2A" w14:textId="77777777" w:rsidR="004946B4" w:rsidRDefault="004946B4" w:rsidP="00347613">
      <w:pPr>
        <w:pStyle w:val="Hesber"/>
        <w:rPr>
          <w:rtl/>
        </w:rPr>
      </w:pPr>
      <w:bookmarkStart w:id="8" w:name="_GoBack"/>
      <w:bookmarkEnd w:id="8"/>
    </w:p>
    <w:sectPr w:rsidR="004946B4"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946B4">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03ACDE06" w14:textId="77777777" w:rsidR="00847290" w:rsidRDefault="00847290" w:rsidP="00847290">
      <w:pPr>
        <w:pStyle w:val="a4"/>
      </w:pPr>
      <w:r>
        <w:rPr>
          <w:rStyle w:val="a6"/>
        </w:rPr>
        <w:footnoteRef/>
      </w:r>
      <w:r>
        <w:rPr>
          <w:rtl/>
        </w:rPr>
        <w:t xml:space="preserve"> ס"ח התשס"א, עמ' 183.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1F25B7"/>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47613"/>
    <w:rsid w:val="0036422C"/>
    <w:rsid w:val="003710F6"/>
    <w:rsid w:val="00386E88"/>
    <w:rsid w:val="00396585"/>
    <w:rsid w:val="003D6E38"/>
    <w:rsid w:val="003D74A0"/>
    <w:rsid w:val="004033D8"/>
    <w:rsid w:val="004073F0"/>
    <w:rsid w:val="00412A7D"/>
    <w:rsid w:val="00416B4D"/>
    <w:rsid w:val="00417CFC"/>
    <w:rsid w:val="004946B4"/>
    <w:rsid w:val="004A06DC"/>
    <w:rsid w:val="004B24ED"/>
    <w:rsid w:val="004B6625"/>
    <w:rsid w:val="004D2D82"/>
    <w:rsid w:val="004D3876"/>
    <w:rsid w:val="004E4552"/>
    <w:rsid w:val="004E6CDF"/>
    <w:rsid w:val="00553C9D"/>
    <w:rsid w:val="00562A66"/>
    <w:rsid w:val="005B064E"/>
    <w:rsid w:val="005D51AE"/>
    <w:rsid w:val="005F2EC5"/>
    <w:rsid w:val="0062674B"/>
    <w:rsid w:val="006363B2"/>
    <w:rsid w:val="00644940"/>
    <w:rsid w:val="006818A9"/>
    <w:rsid w:val="006A2D81"/>
    <w:rsid w:val="006C1D0D"/>
    <w:rsid w:val="0070601E"/>
    <w:rsid w:val="0070713A"/>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47290"/>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1374"/>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92CC0"/>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1E6B212-669B-483C-AAC7-7CCC38BF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locked/>
    <w:rsid w:val="00847290"/>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606CDE24-5726-4CBE-A704-7C891B922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00635F-B650-4385-BA3E-4048D384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694</Words>
  <Characters>3475</Characters>
  <Application>Microsoft Office Word</Application>
  <DocSecurity>0</DocSecurity>
  <Lines>28</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11</cp:revision>
  <cp:lastPrinted>2013-07-04T08:25:00Z</cp:lastPrinted>
  <dcterms:created xsi:type="dcterms:W3CDTF">2015-04-20T09:58:00Z</dcterms:created>
  <dcterms:modified xsi:type="dcterms:W3CDTF">2017-01-25T12:26:00Z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2012775</vt:r8>
  </property>
</Properties>
</file>