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2015658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אלי אלאלוף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פ/4115/20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086871FA" w:rsidR="00E13C27" w:rsidRPr="00F67051" w:rsidRDefault="00A443CF" w:rsidP="00826A91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הגנה על בריאות הציבור (מזון)</w:t>
      </w:r>
      <w:r w:rsidR="00826A91">
        <w:rPr>
          <w:rFonts w:hint="cs"/>
          <w:rtl/>
        </w:rPr>
        <w:t xml:space="preserve"> </w:t>
      </w:r>
      <w:r>
        <w:rPr>
          <w:rFonts w:hint="cs"/>
          <w:rtl/>
        </w:rPr>
        <w:t>(תיקון</w:t>
      </w:r>
      <w:r w:rsidR="00826A91">
        <w:rPr>
          <w:rFonts w:hint="cs"/>
          <w:rtl/>
        </w:rPr>
        <w:t xml:space="preserve"> </w:t>
      </w:r>
      <w:r w:rsidR="00826A91">
        <w:rPr>
          <w:rFonts w:hint="eastAsia"/>
          <w:rtl/>
        </w:rPr>
        <w:t>–</w:t>
      </w:r>
      <w:r w:rsidR="00826A91">
        <w:rPr>
          <w:rFonts w:hint="cs"/>
          <w:rtl/>
        </w:rPr>
        <w:t xml:space="preserve"> אגרה בעד בדיקות משנה</w:t>
      </w:r>
      <w:r>
        <w:rPr>
          <w:rFonts w:hint="cs"/>
          <w:rtl/>
        </w:rPr>
        <w:t>), התשע"ז</w:t>
      </w:r>
      <w:r w:rsidR="00826A91">
        <w:rPr>
          <w:rFonts w:hint="eastAsia"/>
          <w:rtl/>
        </w:rPr>
        <w:t>–</w:t>
      </w:r>
      <w:r>
        <w:rPr>
          <w:rFonts w:hint="cs"/>
          <w:rtl/>
        </w:rPr>
        <w:t>2017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1248"/>
        <w:gridCol w:w="624"/>
        <w:gridCol w:w="4650"/>
      </w:tblGrid>
      <w:tr w:rsidR="004B1965" w14:paraId="5A7F260D" w14:textId="77777777" w:rsidTr="00150A67">
        <w:trPr>
          <w:cantSplit/>
          <w:trHeight w:val="60"/>
        </w:trPr>
        <w:tc>
          <w:tcPr>
            <w:tcW w:w="1871" w:type="dxa"/>
          </w:tcPr>
          <w:p w14:paraId="738950B0" w14:textId="25E2F7DB" w:rsidR="004B1965" w:rsidRDefault="004B1965" w:rsidP="00150A67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 225</w:t>
            </w:r>
          </w:p>
        </w:tc>
        <w:tc>
          <w:tcPr>
            <w:tcW w:w="624" w:type="dxa"/>
          </w:tcPr>
          <w:p w14:paraId="75E95816" w14:textId="77777777" w:rsidR="004B1965" w:rsidRDefault="004B1965" w:rsidP="00150A67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  <w:gridSpan w:val="4"/>
          </w:tcPr>
          <w:p w14:paraId="13E5306B" w14:textId="77777777" w:rsidR="004B1965" w:rsidRDefault="004B1965" w:rsidP="00150A67">
            <w:pPr>
              <w:pStyle w:val="TableBlock"/>
              <w:keepLines w:val="0"/>
              <w:rPr>
                <w:rtl/>
              </w:rPr>
            </w:pPr>
            <w:r w:rsidRPr="00607232">
              <w:rPr>
                <w:rFonts w:hint="cs"/>
                <w:rtl/>
              </w:rPr>
              <w:t>בחוק הגנה על בריאות הציבור (מזון), התשע"ו</w:t>
            </w:r>
            <w:r>
              <w:rPr>
                <w:rFonts w:hint="eastAsia"/>
                <w:rtl/>
              </w:rPr>
              <w:t>–</w:t>
            </w:r>
            <w:r w:rsidRPr="00607232">
              <w:rPr>
                <w:rFonts w:hint="cs"/>
                <w:rtl/>
              </w:rPr>
              <w:t>2015</w:t>
            </w:r>
            <w:r w:rsidRPr="00CD1265">
              <w:rPr>
                <w:szCs w:val="20"/>
                <w:rtl/>
              </w:rPr>
              <w:footnoteReference w:id="2"/>
            </w:r>
            <w:r w:rsidRPr="00CD1265">
              <w:rPr>
                <w:rFonts w:hint="cs"/>
                <w:rtl/>
              </w:rPr>
              <w:t xml:space="preserve"> (להלן </w:t>
            </w:r>
            <w:r w:rsidRPr="00CD1265">
              <w:rPr>
                <w:rtl/>
              </w:rPr>
              <w:t>–</w:t>
            </w:r>
            <w:r w:rsidRPr="00CD1265">
              <w:rPr>
                <w:rFonts w:hint="cs"/>
                <w:rtl/>
              </w:rPr>
              <w:t xml:space="preserve"> החוק העיקרי), בסעיף 225 </w:t>
            </w:r>
            <w:r>
              <w:rPr>
                <w:rFonts w:hint="eastAsia"/>
                <w:rtl/>
              </w:rPr>
              <w:t>–</w:t>
            </w:r>
            <w:r w:rsidRPr="00CD1265">
              <w:rPr>
                <w:rFonts w:hint="cs"/>
                <w:rtl/>
              </w:rPr>
              <w:t xml:space="preserve"> </w:t>
            </w:r>
          </w:p>
        </w:tc>
      </w:tr>
      <w:tr w:rsidR="004B1965" w14:paraId="0FD8A75E" w14:textId="77777777" w:rsidTr="00150A67">
        <w:trPr>
          <w:cantSplit/>
          <w:trHeight w:val="60"/>
        </w:trPr>
        <w:tc>
          <w:tcPr>
            <w:tcW w:w="1871" w:type="dxa"/>
          </w:tcPr>
          <w:p w14:paraId="5AE3AEDE" w14:textId="77777777" w:rsidR="004B1965" w:rsidRDefault="004B1965" w:rsidP="00150A67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6BB854EF" w14:textId="77777777" w:rsidR="004B1965" w:rsidRDefault="004B1965" w:rsidP="00150A67">
            <w:pPr>
              <w:pStyle w:val="TableText"/>
              <w:keepLines w:val="0"/>
            </w:pPr>
          </w:p>
        </w:tc>
        <w:tc>
          <w:tcPr>
            <w:tcW w:w="7146" w:type="dxa"/>
            <w:gridSpan w:val="4"/>
          </w:tcPr>
          <w:p w14:paraId="199F504F" w14:textId="131002E7" w:rsidR="004B1965" w:rsidRDefault="004B1965" w:rsidP="00150A67">
            <w:pPr>
              <w:pStyle w:val="TableBlock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</w:t>
            </w:r>
            <w:r w:rsidRPr="00970A35">
              <w:rPr>
                <w:rtl/>
              </w:rPr>
              <w:t>סעיף קטן (ב), המילים "והוא יחויב באגרה לפי הוראות סעיף 238" – יימחקו</w:t>
            </w:r>
            <w:r w:rsidR="00146710">
              <w:rPr>
                <w:rFonts w:hint="cs"/>
                <w:rtl/>
              </w:rPr>
              <w:t>;</w:t>
            </w:r>
          </w:p>
        </w:tc>
      </w:tr>
      <w:tr w:rsidR="004B1965" w14:paraId="58E65961" w14:textId="77777777" w:rsidTr="00150A67">
        <w:trPr>
          <w:cantSplit/>
          <w:trHeight w:val="60"/>
        </w:trPr>
        <w:tc>
          <w:tcPr>
            <w:tcW w:w="1871" w:type="dxa"/>
          </w:tcPr>
          <w:p w14:paraId="05996B43" w14:textId="77777777" w:rsidR="004B1965" w:rsidRDefault="004B1965" w:rsidP="00150A67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69B49FF6" w14:textId="77777777" w:rsidR="004B1965" w:rsidRDefault="004B1965" w:rsidP="00150A67">
            <w:pPr>
              <w:pStyle w:val="TableText"/>
              <w:keepLines w:val="0"/>
            </w:pPr>
          </w:p>
        </w:tc>
        <w:tc>
          <w:tcPr>
            <w:tcW w:w="7146" w:type="dxa"/>
            <w:gridSpan w:val="4"/>
          </w:tcPr>
          <w:p w14:paraId="51698A2A" w14:textId="73F4BCFE" w:rsidR="004B1965" w:rsidRDefault="004B1965" w:rsidP="00CD1265">
            <w:pPr>
              <w:pStyle w:val="TableBlock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 w:rsidRPr="00970A35">
              <w:rPr>
                <w:rtl/>
              </w:rPr>
              <w:t xml:space="preserve">בסעיף קטן (ג), </w:t>
            </w:r>
            <w:r w:rsidRPr="00826A91">
              <w:rPr>
                <w:rFonts w:hint="cs"/>
                <w:rtl/>
              </w:rPr>
              <w:t xml:space="preserve">אחרי "לאחר שחיטה" יבוא </w:t>
            </w:r>
            <w:r w:rsidRPr="00970A35">
              <w:rPr>
                <w:rtl/>
              </w:rPr>
              <w:t>"למעט בשר עוף ש</w:t>
            </w:r>
            <w:r w:rsidR="00CD1265">
              <w:rPr>
                <w:rFonts w:hint="cs"/>
                <w:rtl/>
              </w:rPr>
              <w:t xml:space="preserve">עבר עיבוד </w:t>
            </w:r>
            <w:r w:rsidRPr="00970A35">
              <w:rPr>
                <w:rtl/>
              </w:rPr>
              <w:t>לאחר שיצא מבית השחיטה"</w:t>
            </w:r>
            <w:r w:rsidR="00146710">
              <w:rPr>
                <w:rFonts w:hint="cs"/>
                <w:rtl/>
              </w:rPr>
              <w:t>;</w:t>
            </w:r>
          </w:p>
        </w:tc>
      </w:tr>
      <w:tr w:rsidR="004B1965" w14:paraId="73DCAF24" w14:textId="77777777" w:rsidTr="00150A67">
        <w:trPr>
          <w:cantSplit/>
          <w:trHeight w:val="60"/>
        </w:trPr>
        <w:tc>
          <w:tcPr>
            <w:tcW w:w="1871" w:type="dxa"/>
          </w:tcPr>
          <w:p w14:paraId="17FFBC33" w14:textId="77777777" w:rsidR="004B1965" w:rsidRDefault="004B1965" w:rsidP="00150A67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48E3C1D3" w14:textId="77777777" w:rsidR="004B1965" w:rsidRDefault="004B1965" w:rsidP="00150A67">
            <w:pPr>
              <w:pStyle w:val="TableText"/>
              <w:keepLines w:val="0"/>
            </w:pPr>
          </w:p>
        </w:tc>
        <w:tc>
          <w:tcPr>
            <w:tcW w:w="7146" w:type="dxa"/>
            <w:gridSpan w:val="4"/>
          </w:tcPr>
          <w:p w14:paraId="648F9890" w14:textId="77777777" w:rsidR="004B1965" w:rsidRDefault="004B1965" w:rsidP="00150A67">
            <w:pPr>
              <w:pStyle w:val="TableBlock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 w:rsidRPr="00970A35">
              <w:rPr>
                <w:rFonts w:hint="cs"/>
                <w:rtl/>
              </w:rPr>
              <w:t>אחרי סעיף קטן (ג) יבוא:</w:t>
            </w:r>
          </w:p>
        </w:tc>
      </w:tr>
      <w:tr w:rsidR="004B1965" w14:paraId="600E25DA" w14:textId="77777777">
        <w:trPr>
          <w:cantSplit/>
          <w:trHeight w:val="60"/>
        </w:trPr>
        <w:tc>
          <w:tcPr>
            <w:tcW w:w="1871" w:type="dxa"/>
          </w:tcPr>
          <w:p w14:paraId="42A241F6" w14:textId="77777777" w:rsidR="004B1965" w:rsidRDefault="004B1965">
            <w:pPr>
              <w:pStyle w:val="TableSideHeading"/>
            </w:pPr>
          </w:p>
        </w:tc>
        <w:tc>
          <w:tcPr>
            <w:tcW w:w="624" w:type="dxa"/>
          </w:tcPr>
          <w:p w14:paraId="65C964EA" w14:textId="77777777" w:rsidR="004B1965" w:rsidRDefault="004B1965">
            <w:pPr>
              <w:pStyle w:val="TableText"/>
            </w:pPr>
          </w:p>
        </w:tc>
        <w:tc>
          <w:tcPr>
            <w:tcW w:w="624" w:type="dxa"/>
          </w:tcPr>
          <w:p w14:paraId="7A314A15" w14:textId="77777777" w:rsidR="004B1965" w:rsidRDefault="004B1965">
            <w:pPr>
              <w:pStyle w:val="TableText"/>
            </w:pPr>
          </w:p>
        </w:tc>
        <w:tc>
          <w:tcPr>
            <w:tcW w:w="6522" w:type="dxa"/>
            <w:gridSpan w:val="3"/>
          </w:tcPr>
          <w:p w14:paraId="4FF4091B" w14:textId="15FCDCA5" w:rsidR="004B1965" w:rsidRDefault="004B1965">
            <w:pPr>
              <w:pStyle w:val="TableBlock"/>
            </w:pPr>
            <w:r>
              <w:rPr>
                <w:rtl/>
              </w:rPr>
              <w:t>"(ד)</w:t>
            </w:r>
            <w:r>
              <w:rPr>
                <w:rtl/>
              </w:rPr>
              <w:tab/>
            </w:r>
            <w:r w:rsidRPr="00826A91">
              <w:rPr>
                <w:rtl/>
              </w:rPr>
              <w:t>מוביל של בשר עוף לאחר שחיטה שיצא ממפעל עיבוד, למעט מפעל שהוא עוסק פטור מבדיקות משנה, יהיה חייב להגיע לבדיקת משנה ככל שנקבעה לגביו לפי חוק העזר, ואולם לא י</w:t>
            </w:r>
            <w:r>
              <w:rPr>
                <w:rFonts w:hint="cs"/>
                <w:rtl/>
              </w:rPr>
              <w:t>חול</w:t>
            </w:r>
            <w:r w:rsidRPr="00826A91">
              <w:rPr>
                <w:rtl/>
              </w:rPr>
              <w:t xml:space="preserve"> חי</w:t>
            </w:r>
            <w:r>
              <w:rPr>
                <w:rFonts w:hint="cs"/>
                <w:rtl/>
              </w:rPr>
              <w:t>ו</w:t>
            </w:r>
            <w:r w:rsidRPr="00826A91">
              <w:rPr>
                <w:rtl/>
              </w:rPr>
              <w:t>ב באגרה בעד הגעה לבדיקות משנה לפי חוק העזר</w:t>
            </w:r>
            <w:r w:rsidR="00146710">
              <w:rPr>
                <w:rFonts w:hint="cs"/>
                <w:rtl/>
              </w:rPr>
              <w:t>.</w:t>
            </w:r>
            <w:r w:rsidR="00146710">
              <w:rPr>
                <w:rtl/>
              </w:rPr>
              <w:t>"</w:t>
            </w:r>
          </w:p>
        </w:tc>
      </w:tr>
      <w:tr w:rsidR="004B1965" w14:paraId="76A64D77" w14:textId="77777777" w:rsidTr="00150A67">
        <w:trPr>
          <w:cantSplit/>
          <w:trHeight w:val="60"/>
        </w:trPr>
        <w:tc>
          <w:tcPr>
            <w:tcW w:w="1871" w:type="dxa"/>
          </w:tcPr>
          <w:p w14:paraId="7437E851" w14:textId="313DD96C" w:rsidR="004B1965" w:rsidRDefault="004B1965" w:rsidP="004B1965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238</w:t>
            </w:r>
          </w:p>
        </w:tc>
        <w:tc>
          <w:tcPr>
            <w:tcW w:w="624" w:type="dxa"/>
          </w:tcPr>
          <w:p w14:paraId="1FD86F87" w14:textId="2CCAE32C" w:rsidR="004B1965" w:rsidRDefault="004B1965" w:rsidP="004B1965">
            <w:pPr>
              <w:pStyle w:val="TableText"/>
              <w:keepLines w:val="0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6" w:type="dxa"/>
            <w:gridSpan w:val="4"/>
          </w:tcPr>
          <w:p w14:paraId="4D3B4A82" w14:textId="4116E1D8" w:rsidR="004B1965" w:rsidRPr="00C34DE2" w:rsidRDefault="004B1965" w:rsidP="004B1965">
            <w:pPr>
              <w:pStyle w:val="TableBlock"/>
              <w:keepLines w:val="0"/>
            </w:pPr>
            <w:r w:rsidRPr="00970A35">
              <w:rPr>
                <w:rFonts w:hint="cs"/>
                <w:rtl/>
              </w:rPr>
              <w:t xml:space="preserve">בסעיף 238 לחוק העיקרי </w:t>
            </w:r>
            <w:r>
              <w:rPr>
                <w:rFonts w:hint="eastAsia"/>
                <w:rtl/>
              </w:rPr>
              <w:t>–</w:t>
            </w:r>
            <w:r w:rsidRPr="00970A35">
              <w:rPr>
                <w:rFonts w:hint="cs"/>
                <w:rtl/>
              </w:rPr>
              <w:t xml:space="preserve"> </w:t>
            </w:r>
          </w:p>
        </w:tc>
      </w:tr>
      <w:tr w:rsidR="004B1965" w14:paraId="10D11B74" w14:textId="77777777" w:rsidTr="00150A67">
        <w:trPr>
          <w:cantSplit/>
          <w:trHeight w:val="60"/>
        </w:trPr>
        <w:tc>
          <w:tcPr>
            <w:tcW w:w="1871" w:type="dxa"/>
          </w:tcPr>
          <w:p w14:paraId="5563AF63" w14:textId="0381BAAF" w:rsidR="004B1965" w:rsidRDefault="004B1965" w:rsidP="004B1965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6C4C3A1C" w14:textId="77777777" w:rsidR="004B1965" w:rsidRDefault="004B1965" w:rsidP="004B1965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6" w:type="dxa"/>
            <w:gridSpan w:val="4"/>
          </w:tcPr>
          <w:p w14:paraId="435E3982" w14:textId="7527B2AF" w:rsidR="004B1965" w:rsidRPr="00970A35" w:rsidRDefault="004B1965" w:rsidP="004B1965">
            <w:pPr>
              <w:pStyle w:val="TableBlock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 w:rsidRPr="00970A35">
              <w:rPr>
                <w:rFonts w:hint="cs"/>
                <w:rtl/>
              </w:rPr>
              <w:t>בסעיף קטן</w:t>
            </w:r>
            <w:r w:rsidRPr="004B1965">
              <w:rPr>
                <w:rFonts w:hint="cs"/>
                <w:rtl/>
              </w:rPr>
              <w:t xml:space="preserve"> </w:t>
            </w:r>
            <w:r w:rsidRPr="00970A35">
              <w:rPr>
                <w:rFonts w:hint="cs"/>
                <w:rtl/>
              </w:rPr>
              <w:t xml:space="preserve">(א), במקום </w:t>
            </w:r>
            <w:r w:rsidRPr="00970A35">
              <w:rPr>
                <w:rtl/>
              </w:rPr>
              <w:t xml:space="preserve">"מוביל של בשר עוף לאחר שחיטה" יבוא "בית שחיטה לעופות" ובמקום "שנפרק בתחום שיפוטה" יבוא "שיצא מבית </w:t>
            </w:r>
            <w:r w:rsidR="00146710">
              <w:rPr>
                <w:rtl/>
              </w:rPr>
              <w:t>השחיטה, למעט בשר המיועד לייצוא"</w:t>
            </w:r>
            <w:r w:rsidR="00146710">
              <w:rPr>
                <w:rFonts w:hint="cs"/>
                <w:rtl/>
              </w:rPr>
              <w:t>;</w:t>
            </w:r>
          </w:p>
        </w:tc>
      </w:tr>
      <w:tr w:rsidR="004B1965" w14:paraId="6BA434FF" w14:textId="77777777" w:rsidTr="00150A67">
        <w:trPr>
          <w:cantSplit/>
          <w:trHeight w:val="60"/>
        </w:trPr>
        <w:tc>
          <w:tcPr>
            <w:tcW w:w="1871" w:type="dxa"/>
          </w:tcPr>
          <w:p w14:paraId="76DE941B" w14:textId="6B0EB536" w:rsidR="004B1965" w:rsidRDefault="004B1965" w:rsidP="004B1965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53E4BD94" w14:textId="77777777" w:rsidR="004B1965" w:rsidRDefault="004B1965" w:rsidP="004B1965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6" w:type="dxa"/>
            <w:gridSpan w:val="4"/>
          </w:tcPr>
          <w:p w14:paraId="0949B4A8" w14:textId="6AA22FBF" w:rsidR="004B1965" w:rsidRDefault="004B1965" w:rsidP="004B1965">
            <w:pPr>
              <w:pStyle w:val="TableBlock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 w:rsidRPr="00970A35">
              <w:rPr>
                <w:rtl/>
              </w:rPr>
              <w:t>בסעיף קטן (ב), במקום "שהוביל המוביל בכלל הרשויות המקומיות בישראל" יבוא</w:t>
            </w:r>
            <w:r>
              <w:rPr>
                <w:rFonts w:hint="cs"/>
                <w:rtl/>
              </w:rPr>
              <w:t xml:space="preserve"> </w:t>
            </w:r>
            <w:r w:rsidRPr="00970A35">
              <w:rPr>
                <w:rtl/>
              </w:rPr>
              <w:t>"שיצא מבית השחיטה, למעט בשר המיועד לייצוא".</w:t>
            </w:r>
          </w:p>
        </w:tc>
      </w:tr>
      <w:tr w:rsidR="004B1965" w14:paraId="25EE07DD" w14:textId="77777777" w:rsidTr="00150A67">
        <w:trPr>
          <w:cantSplit/>
          <w:trHeight w:val="60"/>
        </w:trPr>
        <w:tc>
          <w:tcPr>
            <w:tcW w:w="1871" w:type="dxa"/>
          </w:tcPr>
          <w:p w14:paraId="2839F0C9" w14:textId="50017ED6" w:rsidR="004B1965" w:rsidRDefault="004B1965" w:rsidP="004B1965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הוספת סעיף 239א</w:t>
            </w:r>
          </w:p>
        </w:tc>
        <w:tc>
          <w:tcPr>
            <w:tcW w:w="624" w:type="dxa"/>
          </w:tcPr>
          <w:p w14:paraId="51D712C1" w14:textId="646BB1E1" w:rsidR="004B1965" w:rsidRDefault="004B1965" w:rsidP="004B1965">
            <w:pPr>
              <w:pStyle w:val="TableText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6" w:type="dxa"/>
            <w:gridSpan w:val="4"/>
          </w:tcPr>
          <w:p w14:paraId="42F757BF" w14:textId="77046B8E" w:rsidR="004B1965" w:rsidRDefault="004B1965" w:rsidP="004B1965">
            <w:pPr>
              <w:pStyle w:val="TableBlock"/>
              <w:keepLines w:val="0"/>
              <w:rPr>
                <w:rtl/>
              </w:rPr>
            </w:pPr>
            <w:r w:rsidRPr="004B1965">
              <w:rPr>
                <w:rtl/>
              </w:rPr>
              <w:t>אחרי סעיף 239 לחוק העיקרי יבוא:</w:t>
            </w:r>
          </w:p>
        </w:tc>
      </w:tr>
      <w:tr w:rsidR="004B1965" w14:paraId="655C706A" w14:textId="77777777">
        <w:trPr>
          <w:cantSplit/>
          <w:trHeight w:val="60"/>
        </w:trPr>
        <w:tc>
          <w:tcPr>
            <w:tcW w:w="1871" w:type="dxa"/>
          </w:tcPr>
          <w:p w14:paraId="1293F249" w14:textId="77777777" w:rsidR="004B1965" w:rsidRDefault="004B1965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50C2A36D" w14:textId="77777777" w:rsidR="004B1965" w:rsidRDefault="004B1965">
            <w:pPr>
              <w:pStyle w:val="TableText"/>
              <w:keepLines w:val="0"/>
            </w:pPr>
          </w:p>
        </w:tc>
        <w:tc>
          <w:tcPr>
            <w:tcW w:w="1872" w:type="dxa"/>
            <w:gridSpan w:val="2"/>
          </w:tcPr>
          <w:p w14:paraId="56045C52" w14:textId="140FEAB6" w:rsidR="004B1965" w:rsidRDefault="004B1965">
            <w:pPr>
              <w:pStyle w:val="TableInnerSideHeading"/>
            </w:pPr>
            <w:r>
              <w:rPr>
                <w:rFonts w:hint="cs"/>
                <w:rtl/>
              </w:rPr>
              <w:t>"ביטול גביית אגרות</w:t>
            </w:r>
          </w:p>
        </w:tc>
        <w:tc>
          <w:tcPr>
            <w:tcW w:w="624" w:type="dxa"/>
          </w:tcPr>
          <w:p w14:paraId="005699D3" w14:textId="4AACA124" w:rsidR="004B1965" w:rsidRDefault="004B1965">
            <w:pPr>
              <w:pStyle w:val="TableText"/>
            </w:pPr>
            <w:r w:rsidRPr="004545A0">
              <w:rPr>
                <w:rtl/>
              </w:rPr>
              <w:t>239א</w:t>
            </w:r>
            <w:r>
              <w:rPr>
                <w:rFonts w:hint="cs"/>
                <w:rtl/>
              </w:rPr>
              <w:t>.</w:t>
            </w:r>
            <w:r w:rsidRPr="004545A0">
              <w:rPr>
                <w:rtl/>
              </w:rPr>
              <w:tab/>
            </w:r>
          </w:p>
        </w:tc>
        <w:tc>
          <w:tcPr>
            <w:tcW w:w="4650" w:type="dxa"/>
          </w:tcPr>
          <w:p w14:paraId="1557D393" w14:textId="77AC4B85" w:rsidR="004B1965" w:rsidRDefault="004B1965">
            <w:pPr>
              <w:pStyle w:val="TableBlock"/>
            </w:pPr>
            <w:r w:rsidRPr="004545A0">
              <w:rPr>
                <w:rtl/>
              </w:rPr>
              <w:t>רשות מקומית לא תגבה אגרה לפי חוקי העזר בעד ביצוע בדיקות המשנה לפי חוק זה."</w:t>
            </w:r>
          </w:p>
        </w:tc>
      </w:tr>
    </w:tbl>
    <w:p w14:paraId="7F6961AE" w14:textId="77777777" w:rsidR="00E13C27" w:rsidRPr="004B1965" w:rsidRDefault="00E13C27" w:rsidP="0021633A">
      <w:pPr>
        <w:pStyle w:val="HeadDivreiHesber"/>
        <w:spacing w:before="0" w:after="0"/>
        <w:rPr>
          <w:rtl/>
        </w:rPr>
      </w:pPr>
    </w:p>
    <w:p w14:paraId="1315BF39" w14:textId="77777777" w:rsidR="004B1965" w:rsidRDefault="004B1965" w:rsidP="0021633A">
      <w:pPr>
        <w:pStyle w:val="HeadDivreiHesber"/>
        <w:spacing w:before="0" w:after="0"/>
        <w:rPr>
          <w:rtl/>
        </w:rPr>
      </w:pPr>
    </w:p>
    <w:p w14:paraId="7F6961CA" w14:textId="7EB2A1FC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F6961CB" w14:textId="299075FA" w:rsidR="00E13C27" w:rsidRDefault="004545A0" w:rsidP="00CD1265">
      <w:pPr>
        <w:pStyle w:val="Hesber"/>
        <w:rPr>
          <w:rtl/>
        </w:rPr>
      </w:pPr>
      <w:r>
        <w:rPr>
          <w:rFonts w:hint="cs"/>
          <w:rtl/>
        </w:rPr>
        <w:t xml:space="preserve">הצעת חוק זו </w:t>
      </w:r>
      <w:r w:rsidR="00AB0CFB">
        <w:rPr>
          <w:rFonts w:hint="cs"/>
          <w:rtl/>
        </w:rPr>
        <w:t xml:space="preserve">נועדה </w:t>
      </w:r>
      <w:r w:rsidR="00025C3E">
        <w:rPr>
          <w:rFonts w:hint="cs"/>
          <w:rtl/>
        </w:rPr>
        <w:t xml:space="preserve">לקבוע את המצבים השונים שבהם תתקיים בדיקת משנה של בשר עוף לאחר שחיטה בתקופת המעבר. </w:t>
      </w:r>
      <w:r w:rsidR="00CD1265">
        <w:rPr>
          <w:rFonts w:hint="cs"/>
          <w:rtl/>
        </w:rPr>
        <w:t>בשר עוף שבדרכו לשיווק לא עבר עיבוד יחויב בבדיקת משנה אחת גם אם הועבר לבית קירור. בשר עוף היוצא ממפעל העיבוד יחויב בבדיקת משנה. לפי המ</w:t>
      </w:r>
      <w:r w:rsidR="00025C3E">
        <w:rPr>
          <w:rFonts w:hint="cs"/>
          <w:rtl/>
        </w:rPr>
        <w:t>וצע</w:t>
      </w:r>
      <w:r w:rsidR="00CD1265">
        <w:rPr>
          <w:rFonts w:hint="cs"/>
          <w:rtl/>
        </w:rPr>
        <w:t>,</w:t>
      </w:r>
      <w:r w:rsidR="00025C3E">
        <w:rPr>
          <w:rFonts w:hint="cs"/>
          <w:rtl/>
        </w:rPr>
        <w:t xml:space="preserve"> </w:t>
      </w:r>
      <w:r w:rsidR="00CD1265">
        <w:rPr>
          <w:rFonts w:hint="cs"/>
          <w:rtl/>
        </w:rPr>
        <w:t xml:space="preserve">במקום חיוב באגרה לפי חוקי העזר בעד בדיקות המשנה האמורות, </w:t>
      </w:r>
      <w:r w:rsidR="00025C3E">
        <w:rPr>
          <w:rFonts w:hint="cs"/>
          <w:rtl/>
        </w:rPr>
        <w:t>תיגבה מבתי השחיטה אגרה אחידה</w:t>
      </w:r>
      <w:r w:rsidR="00CD1265">
        <w:rPr>
          <w:rFonts w:hint="cs"/>
          <w:rtl/>
        </w:rPr>
        <w:t xml:space="preserve"> לגבי בשר עוף שחוט היוצא מתחומן, למעט בשר עוף המיועד לייצוא שאינו עובד בדיקות משנה</w:t>
      </w:r>
      <w:r w:rsidR="00025C3E">
        <w:rPr>
          <w:rFonts w:hint="cs"/>
          <w:rtl/>
        </w:rPr>
        <w:t xml:space="preserve">. הצעת חוק זו תפתור מחלוקות </w:t>
      </w:r>
      <w:r w:rsidR="004B1965">
        <w:rPr>
          <w:rFonts w:hint="cs"/>
          <w:rtl/>
        </w:rPr>
        <w:t>לעניין פרשנות</w:t>
      </w:r>
      <w:r>
        <w:rPr>
          <w:rFonts w:hint="cs"/>
          <w:rtl/>
        </w:rPr>
        <w:t xml:space="preserve"> חוק הגנה על בריאות הציבור (מזון), </w:t>
      </w:r>
      <w:r w:rsidR="00DC6D89">
        <w:rPr>
          <w:rFonts w:hint="cs"/>
          <w:rtl/>
        </w:rPr>
        <w:t>ה</w:t>
      </w:r>
      <w:r>
        <w:rPr>
          <w:rFonts w:hint="cs"/>
          <w:rtl/>
        </w:rPr>
        <w:t>תשע"</w:t>
      </w:r>
      <w:r w:rsidR="00DC6D89">
        <w:rPr>
          <w:rFonts w:hint="cs"/>
          <w:rtl/>
        </w:rPr>
        <w:t>ו</w:t>
      </w:r>
      <w:r w:rsidR="00DC6D89">
        <w:rPr>
          <w:rFonts w:hint="eastAsia"/>
          <w:rtl/>
        </w:rPr>
        <w:t>–</w:t>
      </w:r>
      <w:r>
        <w:rPr>
          <w:rFonts w:hint="cs"/>
          <w:rtl/>
        </w:rPr>
        <w:t>2015</w:t>
      </w:r>
      <w:r w:rsidR="00146710">
        <w:rPr>
          <w:rFonts w:hint="cs"/>
          <w:rtl/>
        </w:rPr>
        <w:t>,</w:t>
      </w:r>
      <w:r>
        <w:rPr>
          <w:rFonts w:hint="cs"/>
          <w:rtl/>
        </w:rPr>
        <w:t xml:space="preserve"> בין משרדי הממשלה ובין המרכז לשלטון מקומי לגבי גביית אגרות על בדיקות משנה</w:t>
      </w:r>
      <w:r w:rsidR="00025C3E">
        <w:rPr>
          <w:rFonts w:hint="cs"/>
          <w:rtl/>
        </w:rPr>
        <w:t xml:space="preserve"> לבשר עוף</w:t>
      </w:r>
      <w:r>
        <w:rPr>
          <w:rFonts w:hint="cs"/>
          <w:rtl/>
        </w:rPr>
        <w:t xml:space="preserve"> בתקופת המעבר.</w:t>
      </w:r>
      <w:bookmarkStart w:id="8" w:name="_GoBack"/>
      <w:bookmarkEnd w:id="8"/>
    </w:p>
    <w:p w14:paraId="2A150CBA" w14:textId="1BB97455" w:rsidR="00CB2B50" w:rsidRDefault="00CB2B50" w:rsidP="00CD1265">
      <w:pPr>
        <w:pStyle w:val="Hesber"/>
        <w:rPr>
          <w:rtl/>
        </w:rPr>
      </w:pPr>
    </w:p>
    <w:p w14:paraId="46123FF1" w14:textId="77777777" w:rsidR="00CB2B50" w:rsidRPr="00D73212" w:rsidRDefault="00CB2B50" w:rsidP="00CB2B50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452BD5AB" w14:textId="77777777" w:rsidR="00CB2B50" w:rsidRPr="00D73212" w:rsidRDefault="00CB2B50" w:rsidP="00CB2B50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3DB0E826" w14:textId="77777777" w:rsidR="00CB2B50" w:rsidRPr="00D73212" w:rsidRDefault="00CB2B50" w:rsidP="00CB2B50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46C6CA47" w14:textId="77777777" w:rsidR="00CB2B50" w:rsidRPr="00317312" w:rsidRDefault="00CB2B50" w:rsidP="00CB2B50">
      <w:pPr>
        <w:pStyle w:val="Hesber"/>
      </w:pPr>
      <w:r>
        <w:rPr>
          <w:rFonts w:hint="cs"/>
          <w:color w:val="auto"/>
          <w:rtl/>
          <w:lang w:eastAsia="en-US"/>
        </w:rPr>
        <w:t>כ"ד באדר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ז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22.3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17</w:t>
      </w:r>
    </w:p>
    <w:p w14:paraId="53847641" w14:textId="77777777" w:rsidR="00CB2B50" w:rsidRDefault="00CB2B50" w:rsidP="00CD1265">
      <w:pPr>
        <w:pStyle w:val="Hesber"/>
        <w:rPr>
          <w:rtl/>
        </w:rPr>
      </w:pPr>
    </w:p>
    <w:sectPr w:rsidR="00CB2B50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146710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64F6D22D" w14:textId="77777777" w:rsidR="004B1965" w:rsidRDefault="004B1965" w:rsidP="004B1965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36, עמ' 749.</w:t>
      </w:r>
    </w:p>
    <w:p w14:paraId="6BEA039A" w14:textId="77777777" w:rsidR="004B1965" w:rsidRPr="00F50553" w:rsidRDefault="004B1965" w:rsidP="004B1965">
      <w:pPr>
        <w:pStyle w:val="a4"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51C6B"/>
    <w:multiLevelType w:val="hybridMultilevel"/>
    <w:tmpl w:val="47AC01B2"/>
    <w:lvl w:ilvl="0" w:tplc="6ED2E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8071E"/>
    <w:multiLevelType w:val="hybridMultilevel"/>
    <w:tmpl w:val="11DEE408"/>
    <w:lvl w:ilvl="0" w:tplc="B6C421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25C3E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46710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545A0"/>
    <w:rsid w:val="004A06DC"/>
    <w:rsid w:val="004B1965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C3FA6"/>
    <w:rsid w:val="007D585A"/>
    <w:rsid w:val="007D5A12"/>
    <w:rsid w:val="007E59F9"/>
    <w:rsid w:val="00810BCD"/>
    <w:rsid w:val="00812C98"/>
    <w:rsid w:val="00814D92"/>
    <w:rsid w:val="00826A91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45B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70A35"/>
    <w:rsid w:val="00982412"/>
    <w:rsid w:val="00983A8D"/>
    <w:rsid w:val="009A0DB8"/>
    <w:rsid w:val="009A7257"/>
    <w:rsid w:val="009C5FBB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B0CFB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13289"/>
    <w:rsid w:val="00C23B1A"/>
    <w:rsid w:val="00C310EB"/>
    <w:rsid w:val="00C9176A"/>
    <w:rsid w:val="00CB1819"/>
    <w:rsid w:val="00CB2B50"/>
    <w:rsid w:val="00CD1265"/>
    <w:rsid w:val="00CF1AA2"/>
    <w:rsid w:val="00D17774"/>
    <w:rsid w:val="00D63620"/>
    <w:rsid w:val="00D8410D"/>
    <w:rsid w:val="00D867D7"/>
    <w:rsid w:val="00DB7060"/>
    <w:rsid w:val="00DC6D89"/>
    <w:rsid w:val="00DE3153"/>
    <w:rsid w:val="00E06736"/>
    <w:rsid w:val="00E13C27"/>
    <w:rsid w:val="00E33BBD"/>
    <w:rsid w:val="00E374F2"/>
    <w:rsid w:val="00E41507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50553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7CC2A52-7C30-40EF-A06A-B08F5CE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4B1965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DB25F-FBF8-48E5-B248-CA964D203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E3B20-E48D-437B-AEF4-BCC0A179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15</cp:revision>
  <cp:lastPrinted>2017-03-20T21:15:00Z</cp:lastPrinted>
  <dcterms:created xsi:type="dcterms:W3CDTF">2015-04-20T09:58:00Z</dcterms:created>
  <dcterms:modified xsi:type="dcterms:W3CDTF">2017-03-21T17:07:00Z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2015658</vt:r8>
  </property>
</Properties>
</file>