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2013475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דוד אמסלם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פ/3928/20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התכנון והבנייה (תיקון – שיפוי בגין תביעות פיצויים), התשע"ז–2017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1872"/>
        <w:gridCol w:w="624"/>
        <w:gridCol w:w="4650"/>
      </w:tblGrid>
      <w:tr w:rsidR="00547115" w:rsidRPr="00A97D21" w14:paraId="61BC4080" w14:textId="77777777" w:rsidTr="00AF6B78">
        <w:trPr>
          <w:cantSplit/>
        </w:trPr>
        <w:tc>
          <w:tcPr>
            <w:tcW w:w="1871" w:type="dxa"/>
          </w:tcPr>
          <w:p w14:paraId="1E15630B" w14:textId="7344D1BA" w:rsidR="00547115" w:rsidRPr="00C13F6E" w:rsidRDefault="004E0833" w:rsidP="009B42FF">
            <w:pPr>
              <w:pStyle w:val="Table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הוספת</w:t>
            </w:r>
            <w:r w:rsidR="00547115" w:rsidRPr="00C13F6E">
              <w:rPr>
                <w:rFonts w:hint="cs"/>
                <w:rtl/>
              </w:rPr>
              <w:t xml:space="preserve"> סעיף </w:t>
            </w:r>
            <w:r w:rsidR="009B42FF">
              <w:rPr>
                <w:rFonts w:hint="cs"/>
                <w:rtl/>
              </w:rPr>
              <w:t>197א</w:t>
            </w:r>
          </w:p>
        </w:tc>
        <w:tc>
          <w:tcPr>
            <w:tcW w:w="624" w:type="dxa"/>
          </w:tcPr>
          <w:p w14:paraId="35856AC6" w14:textId="77777777" w:rsidR="00547115" w:rsidRPr="00C13F6E" w:rsidRDefault="00547115" w:rsidP="0080650F">
            <w:pPr>
              <w:pStyle w:val="TableText"/>
              <w:ind w:right="0"/>
              <w:jc w:val="both"/>
              <w:rPr>
                <w:rtl/>
              </w:rPr>
            </w:pPr>
            <w:r w:rsidRPr="00C13F6E"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gridSpan w:val="3"/>
          </w:tcPr>
          <w:p w14:paraId="5A5DF63C" w14:textId="21AFB8FF" w:rsidR="00547115" w:rsidRPr="00E67F9D" w:rsidRDefault="00547115" w:rsidP="009B42F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בחוק התכנון והבני</w:t>
            </w:r>
            <w:r w:rsidR="00BA25D4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התשכ"ה</w:t>
            </w:r>
            <w:r w:rsidR="00BA25D4"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1965</w:t>
            </w:r>
            <w:r w:rsidR="00F657F5">
              <w:rPr>
                <w:rStyle w:val="a5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, </w:t>
            </w:r>
            <w:r w:rsidR="00F657F5">
              <w:rPr>
                <w:rFonts w:hint="cs"/>
                <w:rtl/>
              </w:rPr>
              <w:t xml:space="preserve">אחרי סעיף </w:t>
            </w:r>
            <w:r w:rsidR="009B42FF">
              <w:rPr>
                <w:rFonts w:hint="cs"/>
                <w:rtl/>
              </w:rPr>
              <w:t xml:space="preserve">197 </w:t>
            </w:r>
            <w:r w:rsidR="00F657F5">
              <w:rPr>
                <w:rFonts w:hint="cs"/>
                <w:rtl/>
              </w:rPr>
              <w:t>יבוא:</w:t>
            </w:r>
          </w:p>
        </w:tc>
      </w:tr>
      <w:tr w:rsidR="00A944CE" w14:paraId="7844F3FD" w14:textId="77777777">
        <w:trPr>
          <w:cantSplit/>
          <w:trHeight w:val="60"/>
        </w:trPr>
        <w:tc>
          <w:tcPr>
            <w:tcW w:w="1871" w:type="dxa"/>
          </w:tcPr>
          <w:p w14:paraId="513821C2" w14:textId="0F74F649" w:rsidR="00A944CE" w:rsidRDefault="00A944CE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7173F2AE" w14:textId="77777777" w:rsidR="00A944CE" w:rsidRDefault="00A944CE">
            <w:pPr>
              <w:pStyle w:val="TableText"/>
              <w:keepLines w:val="0"/>
            </w:pPr>
          </w:p>
        </w:tc>
        <w:tc>
          <w:tcPr>
            <w:tcW w:w="1872" w:type="dxa"/>
          </w:tcPr>
          <w:p w14:paraId="0831E9F0" w14:textId="64E59263" w:rsidR="00A944CE" w:rsidRDefault="00A944CE" w:rsidP="00C16A18">
            <w:pPr>
              <w:pStyle w:val="TableInnerSideHeading"/>
            </w:pPr>
            <w:r>
              <w:rPr>
                <w:rFonts w:hint="cs"/>
                <w:rtl/>
              </w:rPr>
              <w:t>"כתב שיפוי כתנאי לאישור</w:t>
            </w:r>
            <w:r w:rsidR="00F657F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תכנית</w:t>
            </w:r>
            <w:r w:rsidR="00C16A18">
              <w:rPr>
                <w:rFonts w:hint="cs"/>
                <w:rtl/>
              </w:rPr>
              <w:t xml:space="preserve"> או מתן היתר</w:t>
            </w:r>
            <w:r w:rsidR="00B65C00">
              <w:rPr>
                <w:rFonts w:hint="cs"/>
                <w:rtl/>
              </w:rPr>
              <w:t xml:space="preserve"> </w:t>
            </w:r>
          </w:p>
        </w:tc>
        <w:tc>
          <w:tcPr>
            <w:tcW w:w="624" w:type="dxa"/>
          </w:tcPr>
          <w:p w14:paraId="7DE83EE0" w14:textId="6CB7BA44" w:rsidR="00A944CE" w:rsidRPr="00A944CE" w:rsidRDefault="009B42FF">
            <w:pPr>
              <w:pStyle w:val="TableText"/>
            </w:pPr>
            <w:r>
              <w:rPr>
                <w:rFonts w:hint="cs"/>
                <w:rtl/>
              </w:rPr>
              <w:t>197</w:t>
            </w:r>
            <w:r w:rsidR="005F5D77">
              <w:rPr>
                <w:rFonts w:hint="cs"/>
                <w:rtl/>
              </w:rPr>
              <w:t>א</w:t>
            </w:r>
            <w:r w:rsidR="00F657F5">
              <w:rPr>
                <w:rFonts w:hint="cs"/>
                <w:rtl/>
              </w:rPr>
              <w:t>.</w:t>
            </w:r>
          </w:p>
        </w:tc>
        <w:tc>
          <w:tcPr>
            <w:tcW w:w="4650" w:type="dxa"/>
          </w:tcPr>
          <w:p w14:paraId="51C11B66" w14:textId="4D0AD373" w:rsidR="00A944CE" w:rsidRDefault="009B42FF" w:rsidP="009B42FF">
            <w:pPr>
              <w:pStyle w:val="TableBlock"/>
            </w:pPr>
            <w:r>
              <w:rPr>
                <w:rFonts w:hint="cs"/>
                <w:rtl/>
              </w:rPr>
              <w:t>מוסד תכנון</w:t>
            </w:r>
            <w:r w:rsidR="00A944CE">
              <w:rPr>
                <w:rFonts w:hint="cs"/>
                <w:rtl/>
              </w:rPr>
              <w:t xml:space="preserve"> רשאי לדרוש, כתנאי ל</w:t>
            </w:r>
            <w:r w:rsidR="00E21E24">
              <w:rPr>
                <w:rFonts w:hint="cs"/>
                <w:rtl/>
              </w:rPr>
              <w:t>הפקד</w:t>
            </w:r>
            <w:r w:rsidR="00D84E04">
              <w:rPr>
                <w:rFonts w:hint="cs"/>
                <w:rtl/>
              </w:rPr>
              <w:t>ה</w:t>
            </w:r>
            <w:r w:rsidR="00E21E24">
              <w:rPr>
                <w:rFonts w:hint="cs"/>
                <w:rtl/>
              </w:rPr>
              <w:t xml:space="preserve"> או </w:t>
            </w:r>
            <w:r w:rsidR="00A944CE">
              <w:rPr>
                <w:rFonts w:hint="cs"/>
                <w:rtl/>
              </w:rPr>
              <w:t>אישור תכנית שבסמכות</w:t>
            </w:r>
            <w:r>
              <w:rPr>
                <w:rFonts w:hint="cs"/>
                <w:rtl/>
              </w:rPr>
              <w:t>ו</w:t>
            </w:r>
            <w:r w:rsidR="003B146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או </w:t>
            </w:r>
            <w:r w:rsidR="006C476D">
              <w:rPr>
                <w:rFonts w:hint="cs"/>
                <w:rtl/>
              </w:rPr>
              <w:t xml:space="preserve">כתנאי </w:t>
            </w:r>
            <w:r w:rsidR="003B146C">
              <w:rPr>
                <w:rFonts w:hint="cs"/>
                <w:rtl/>
              </w:rPr>
              <w:t>למתן היתר</w:t>
            </w:r>
            <w:r w:rsidR="00A944CE">
              <w:rPr>
                <w:rFonts w:hint="cs"/>
                <w:rtl/>
              </w:rPr>
              <w:t>, כתב שיפוי מפני תביעה לפיצויים לפי סעיף 197</w:t>
            </w:r>
            <w:r w:rsidR="00F657F5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25186C7A" w14:textId="4D5A230E" w:rsidR="00547115" w:rsidRPr="00E21E24" w:rsidRDefault="00547115" w:rsidP="006C476D">
      <w:pPr>
        <w:pStyle w:val="Hesber"/>
        <w:rPr>
          <w:rtl/>
        </w:rPr>
      </w:pPr>
      <w:r w:rsidRPr="00E21E24">
        <w:rPr>
          <w:rtl/>
        </w:rPr>
        <w:t>חוק התכנון והבני</w:t>
      </w:r>
      <w:r w:rsidR="00E21E24">
        <w:rPr>
          <w:rFonts w:hint="cs"/>
          <w:rtl/>
        </w:rPr>
        <w:t>י</w:t>
      </w:r>
      <w:r w:rsidRPr="00E21E24">
        <w:rPr>
          <w:rtl/>
        </w:rPr>
        <w:t>ה</w:t>
      </w:r>
      <w:r w:rsidR="00E21E24">
        <w:rPr>
          <w:rFonts w:hint="cs"/>
          <w:rtl/>
        </w:rPr>
        <w:t>, התשכ"ה</w:t>
      </w:r>
      <w:r w:rsidR="00E21E24">
        <w:rPr>
          <w:rFonts w:hint="eastAsia"/>
          <w:rtl/>
        </w:rPr>
        <w:t>–1965</w:t>
      </w:r>
      <w:r w:rsidR="004E0833">
        <w:rPr>
          <w:rFonts w:hint="cs"/>
          <w:rtl/>
        </w:rPr>
        <w:t xml:space="preserve"> (להלן </w:t>
      </w:r>
      <w:r w:rsidR="004E0833">
        <w:rPr>
          <w:rtl/>
        </w:rPr>
        <w:t>–</w:t>
      </w:r>
      <w:r w:rsidR="004E0833">
        <w:rPr>
          <w:rFonts w:hint="cs"/>
          <w:rtl/>
        </w:rPr>
        <w:t xml:space="preserve"> החוק), </w:t>
      </w:r>
      <w:r w:rsidRPr="00E21E24">
        <w:rPr>
          <w:rtl/>
        </w:rPr>
        <w:t xml:space="preserve">מסדיר בסעיף 197 </w:t>
      </w:r>
      <w:r w:rsidR="00E21E24">
        <w:rPr>
          <w:rFonts w:hint="cs"/>
          <w:rtl/>
        </w:rPr>
        <w:t>את ה</w:t>
      </w:r>
      <w:r w:rsidRPr="00E21E24">
        <w:rPr>
          <w:rtl/>
        </w:rPr>
        <w:t>זכות לפיצוי</w:t>
      </w:r>
      <w:r w:rsidR="00E21E24">
        <w:rPr>
          <w:rFonts w:hint="cs"/>
          <w:rtl/>
        </w:rPr>
        <w:t>ים</w:t>
      </w:r>
      <w:r w:rsidRPr="00E21E24">
        <w:rPr>
          <w:rtl/>
        </w:rPr>
        <w:t xml:space="preserve"> </w:t>
      </w:r>
      <w:r w:rsidR="00E21E24">
        <w:rPr>
          <w:rFonts w:hint="cs"/>
          <w:rtl/>
        </w:rPr>
        <w:t>לבעלים של מקרקעין שנפגעו על ידי תכנית</w:t>
      </w:r>
      <w:r w:rsidRPr="00E21E24">
        <w:rPr>
          <w:rtl/>
        </w:rPr>
        <w:t>. חובת התשלום בחוק בגין פגיעות אלו מוטלת על הוועדות המקומיות. החובה החוקית המוטלת על הוועדות המקומיות אינה מבחינה בין תכניות שהיוזמה להכנתן היא של הוועדות המקומיות,</w:t>
      </w:r>
      <w:r w:rsidRPr="00E21E24">
        <w:rPr>
          <w:rFonts w:hint="cs"/>
          <w:rtl/>
        </w:rPr>
        <w:t xml:space="preserve"> </w:t>
      </w:r>
      <w:r w:rsidRPr="00E21E24">
        <w:rPr>
          <w:rtl/>
        </w:rPr>
        <w:t xml:space="preserve">לבין אלו שאינן </w:t>
      </w:r>
      <w:r w:rsidR="006C476D">
        <w:rPr>
          <w:rFonts w:hint="cs"/>
          <w:rtl/>
        </w:rPr>
        <w:t>בסמכות הוועדה המקומית</w:t>
      </w:r>
      <w:r w:rsidRPr="00E21E24">
        <w:rPr>
          <w:rtl/>
        </w:rPr>
        <w:t>. בפועל התפתח נוהג רב שנים</w:t>
      </w:r>
      <w:r w:rsidR="006C476D">
        <w:rPr>
          <w:rFonts w:hint="cs"/>
          <w:rtl/>
        </w:rPr>
        <w:t xml:space="preserve"> </w:t>
      </w:r>
      <w:r w:rsidRPr="00E21E24">
        <w:rPr>
          <w:rtl/>
        </w:rPr>
        <w:t>לפיו יזמי תכניות שאינן הוועדה המקומית או הרשות המקומית נדרשים לתת כתב שיפוי,</w:t>
      </w:r>
      <w:r w:rsidRPr="00E21E24">
        <w:rPr>
          <w:rFonts w:hint="cs"/>
          <w:rtl/>
        </w:rPr>
        <w:t xml:space="preserve"> </w:t>
      </w:r>
      <w:r w:rsidRPr="00E21E24">
        <w:rPr>
          <w:rtl/>
        </w:rPr>
        <w:t>כתנאי להפקדת התכנית או לא</w:t>
      </w:r>
      <w:r w:rsidRPr="00E21E24">
        <w:rPr>
          <w:rFonts w:hint="cs"/>
          <w:rtl/>
        </w:rPr>
        <w:t>י</w:t>
      </w:r>
      <w:r w:rsidRPr="00E21E24">
        <w:rPr>
          <w:rtl/>
        </w:rPr>
        <w:t>שורה, ב</w:t>
      </w:r>
      <w:r w:rsidR="006C476D">
        <w:rPr>
          <w:rFonts w:hint="cs"/>
          <w:rtl/>
        </w:rPr>
        <w:t>גין</w:t>
      </w:r>
      <w:r w:rsidRPr="00E21E24">
        <w:rPr>
          <w:rtl/>
        </w:rPr>
        <w:t xml:space="preserve"> תביעות שתוגשנה מכוח סעיף 197 לחוק.</w:t>
      </w:r>
    </w:p>
    <w:p w14:paraId="74E11101" w14:textId="5D0B94DE" w:rsidR="003B6A3E" w:rsidRDefault="00547115" w:rsidP="003B6A3E">
      <w:pPr>
        <w:pStyle w:val="Hesber"/>
        <w:rPr>
          <w:rtl/>
        </w:rPr>
      </w:pPr>
      <w:r w:rsidRPr="00E21E24">
        <w:rPr>
          <w:rtl/>
        </w:rPr>
        <w:t xml:space="preserve">בפסק דין </w:t>
      </w:r>
      <w:r w:rsidR="003B6A3E">
        <w:rPr>
          <w:rFonts w:hint="cs"/>
          <w:rtl/>
        </w:rPr>
        <w:t xml:space="preserve">ע"א 5958/15 </w:t>
      </w:r>
      <w:r w:rsidR="003B6A3E" w:rsidRPr="0011690F">
        <w:rPr>
          <w:rFonts w:hint="cs"/>
          <w:b/>
          <w:bCs/>
          <w:rtl/>
        </w:rPr>
        <w:t xml:space="preserve">פרחי ביקל בע"מ נ' הועדה המקומית לתכנון ולבנייה </w:t>
      </w:r>
      <w:r w:rsidR="003B6A3E" w:rsidRPr="0011690F">
        <w:rPr>
          <w:b/>
          <w:bCs/>
          <w:rtl/>
        </w:rPr>
        <w:t>–</w:t>
      </w:r>
      <w:r w:rsidR="003B6A3E" w:rsidRPr="0011690F">
        <w:rPr>
          <w:rFonts w:hint="cs"/>
          <w:b/>
          <w:bCs/>
          <w:rtl/>
        </w:rPr>
        <w:t xml:space="preserve"> ראשון לציון</w:t>
      </w:r>
      <w:r w:rsidR="004E0833">
        <w:rPr>
          <w:rFonts w:hint="cs"/>
          <w:rtl/>
        </w:rPr>
        <w:t xml:space="preserve"> (ניתן ביום </w:t>
      </w:r>
      <w:r w:rsidR="003B6A3E">
        <w:rPr>
          <w:rFonts w:hint="cs"/>
          <w:rtl/>
        </w:rPr>
        <w:t xml:space="preserve">15.12.2016) קבע </w:t>
      </w:r>
      <w:r w:rsidRPr="00E21E24">
        <w:rPr>
          <w:rtl/>
        </w:rPr>
        <w:t>בית משפט העליון</w:t>
      </w:r>
      <w:r w:rsidRPr="00E21E24">
        <w:rPr>
          <w:rFonts w:hint="cs"/>
          <w:rtl/>
        </w:rPr>
        <w:t>,</w:t>
      </w:r>
      <w:r w:rsidRPr="00E21E24">
        <w:rPr>
          <w:rtl/>
        </w:rPr>
        <w:t xml:space="preserve"> כי הנוהג האמור נעדר הסמכה חקיקתית ולפיכך לא ניתן להמשיך ולנהוג לפיו. </w:t>
      </w:r>
    </w:p>
    <w:p w14:paraId="436B1D3D" w14:textId="56FF1E73" w:rsidR="00547115" w:rsidRDefault="00547115" w:rsidP="004E0833">
      <w:pPr>
        <w:pStyle w:val="Hesber"/>
        <w:rPr>
          <w:rtl/>
        </w:rPr>
      </w:pPr>
      <w:r w:rsidRPr="00E21E24">
        <w:rPr>
          <w:rtl/>
        </w:rPr>
        <w:t xml:space="preserve">מוצע לפיכך לעגן מפורשות את הנוהג </w:t>
      </w:r>
      <w:r w:rsidR="003B6A3E">
        <w:rPr>
          <w:rFonts w:hint="cs"/>
          <w:rtl/>
        </w:rPr>
        <w:t xml:space="preserve">ולקבוע כי מוסד </w:t>
      </w:r>
      <w:r w:rsidR="00F43A8C">
        <w:rPr>
          <w:rFonts w:hint="cs"/>
          <w:rtl/>
        </w:rPr>
        <w:t>תכנון רשאי לדרוש כתנאי להפקדת ו</w:t>
      </w:r>
      <w:r w:rsidR="003B6A3E">
        <w:rPr>
          <w:rFonts w:hint="cs"/>
          <w:rtl/>
        </w:rPr>
        <w:t>אישור תכנית</w:t>
      </w:r>
      <w:r w:rsidR="00685E79">
        <w:rPr>
          <w:rFonts w:hint="cs"/>
          <w:rtl/>
        </w:rPr>
        <w:t xml:space="preserve"> וכתנאי למתן היתר</w:t>
      </w:r>
      <w:r w:rsidR="003B6A3E">
        <w:rPr>
          <w:rFonts w:hint="cs"/>
          <w:rtl/>
        </w:rPr>
        <w:t>, כתב שיפוי כאמור</w:t>
      </w:r>
      <w:r w:rsidR="00685E79">
        <w:rPr>
          <w:rFonts w:hint="cs"/>
          <w:rtl/>
        </w:rPr>
        <w:t xml:space="preserve">. </w:t>
      </w:r>
      <w:r w:rsidRPr="00E21E24">
        <w:rPr>
          <w:rtl/>
        </w:rPr>
        <w:t xml:space="preserve">התיקון המוצע </w:t>
      </w:r>
      <w:r w:rsidR="004E0833">
        <w:rPr>
          <w:rFonts w:hint="cs"/>
          <w:rtl/>
        </w:rPr>
        <w:t>נועד</w:t>
      </w:r>
      <w:r w:rsidRPr="00E21E24">
        <w:rPr>
          <w:rtl/>
        </w:rPr>
        <w:t xml:space="preserve"> לשמר נוהג בן עשרות שנים</w:t>
      </w:r>
      <w:r w:rsidRPr="00E21E24">
        <w:rPr>
          <w:rFonts w:hint="cs"/>
          <w:rtl/>
        </w:rPr>
        <w:t>,</w:t>
      </w:r>
      <w:r w:rsidRPr="00E21E24">
        <w:rPr>
          <w:rtl/>
        </w:rPr>
        <w:t xml:space="preserve"> על מנת למנוע את אי הוודאות ואי היציבות שעלולה לה</w:t>
      </w:r>
      <w:r w:rsidRPr="00E21E24">
        <w:rPr>
          <w:rFonts w:hint="cs"/>
          <w:rtl/>
        </w:rPr>
        <w:t>י</w:t>
      </w:r>
      <w:r w:rsidRPr="00E21E24">
        <w:rPr>
          <w:rtl/>
        </w:rPr>
        <w:t>גרם כתוצאה מפסיקת בית המשפט העליון.</w:t>
      </w:r>
    </w:p>
    <w:p w14:paraId="1647AE87" w14:textId="77777777" w:rsidR="004E0833" w:rsidRDefault="004E0833" w:rsidP="004E0833">
      <w:pPr>
        <w:pStyle w:val="Hesber"/>
        <w:rPr>
          <w:rtl/>
        </w:rPr>
      </w:pPr>
    </w:p>
    <w:p w14:paraId="6B850A8C" w14:textId="77777777" w:rsidR="004E0833" w:rsidRPr="00D73212" w:rsidRDefault="004E0833" w:rsidP="004E0833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69F27A84" w14:textId="77777777" w:rsidR="004E0833" w:rsidRPr="00D73212" w:rsidRDefault="004E0833" w:rsidP="004E0833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16531C42" w14:textId="77777777" w:rsidR="004E0833" w:rsidRPr="00D73212" w:rsidRDefault="004E0833" w:rsidP="004E0833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7F6961CB" w14:textId="0FF5AA7A" w:rsidR="00E13C27" w:rsidRPr="00E21E24" w:rsidRDefault="004E0833" w:rsidP="004E0833">
      <w:pPr>
        <w:pStyle w:val="Hesber"/>
        <w:rPr>
          <w:rtl/>
        </w:rPr>
      </w:pPr>
      <w:r>
        <w:rPr>
          <w:rFonts w:hint="cs"/>
          <w:color w:val="auto"/>
          <w:rtl/>
          <w:lang w:eastAsia="en-US"/>
        </w:rPr>
        <w:t>א' באדר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27.2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  <w:bookmarkStart w:id="8" w:name="_GoBack"/>
      <w:bookmarkEnd w:id="8"/>
    </w:p>
    <w:sectPr w:rsidR="00E13C27" w:rsidRPr="00E21E24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4E0833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671A8D54" w14:textId="2F164BC2" w:rsidR="00F657F5" w:rsidRDefault="00F657F5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התשכ"ה, עמ' 307.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1690F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B146C"/>
    <w:rsid w:val="003B6A3E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0833"/>
    <w:rsid w:val="004E4552"/>
    <w:rsid w:val="004E6CDF"/>
    <w:rsid w:val="00547115"/>
    <w:rsid w:val="00553C9D"/>
    <w:rsid w:val="00562A66"/>
    <w:rsid w:val="005B064E"/>
    <w:rsid w:val="005D51AE"/>
    <w:rsid w:val="005F5D77"/>
    <w:rsid w:val="00606A3C"/>
    <w:rsid w:val="0062674B"/>
    <w:rsid w:val="00630D18"/>
    <w:rsid w:val="006363B2"/>
    <w:rsid w:val="00644940"/>
    <w:rsid w:val="006818A9"/>
    <w:rsid w:val="00685E79"/>
    <w:rsid w:val="006A2D81"/>
    <w:rsid w:val="006C1D0D"/>
    <w:rsid w:val="006C476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7F752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B42FF"/>
    <w:rsid w:val="009D6E0A"/>
    <w:rsid w:val="009E1E33"/>
    <w:rsid w:val="00A14672"/>
    <w:rsid w:val="00A26BD6"/>
    <w:rsid w:val="00A443CF"/>
    <w:rsid w:val="00A4784E"/>
    <w:rsid w:val="00A6611D"/>
    <w:rsid w:val="00A82CB7"/>
    <w:rsid w:val="00A942C1"/>
    <w:rsid w:val="00A944CE"/>
    <w:rsid w:val="00AA2F03"/>
    <w:rsid w:val="00AC36F7"/>
    <w:rsid w:val="00AC63A4"/>
    <w:rsid w:val="00AD239E"/>
    <w:rsid w:val="00AF6B78"/>
    <w:rsid w:val="00B10265"/>
    <w:rsid w:val="00B16A99"/>
    <w:rsid w:val="00B21211"/>
    <w:rsid w:val="00B35784"/>
    <w:rsid w:val="00B65C00"/>
    <w:rsid w:val="00B733A7"/>
    <w:rsid w:val="00B75C91"/>
    <w:rsid w:val="00B975AD"/>
    <w:rsid w:val="00BA25D4"/>
    <w:rsid w:val="00BC45FB"/>
    <w:rsid w:val="00BF148D"/>
    <w:rsid w:val="00C16A18"/>
    <w:rsid w:val="00C23B1A"/>
    <w:rsid w:val="00C310EB"/>
    <w:rsid w:val="00C9176A"/>
    <w:rsid w:val="00CF1AA2"/>
    <w:rsid w:val="00D17774"/>
    <w:rsid w:val="00D63620"/>
    <w:rsid w:val="00D8410D"/>
    <w:rsid w:val="00D84E04"/>
    <w:rsid w:val="00D867D7"/>
    <w:rsid w:val="00DB7060"/>
    <w:rsid w:val="00DE3153"/>
    <w:rsid w:val="00E06736"/>
    <w:rsid w:val="00E13C27"/>
    <w:rsid w:val="00E21E24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43A8C"/>
    <w:rsid w:val="00F51BEC"/>
    <w:rsid w:val="00F628D6"/>
    <w:rsid w:val="00F657F5"/>
    <w:rsid w:val="00F67051"/>
    <w:rsid w:val="00F86A1E"/>
    <w:rsid w:val="00FA5E8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5D13-11C6-433F-A990-27371C39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1FD17-3092-4B6C-B92B-025EC7BB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263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21</cp:revision>
  <cp:lastPrinted>2017-02-26T07:23:00Z</cp:lastPrinted>
  <dcterms:created xsi:type="dcterms:W3CDTF">2015-04-20T09:58:00Z</dcterms:created>
  <dcterms:modified xsi:type="dcterms:W3CDTF">2017-02-26T07:23:00Z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2013475</vt:r8>
  </property>
</Properties>
</file>