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43AB0" w14:textId="6022AEFF" w:rsidR="00052BC8" w:rsidRPr="0000131B" w:rsidRDefault="00052BC8" w:rsidP="00052BC8">
      <w:pPr>
        <w:pStyle w:val="HeadHatzaotHok"/>
        <w:jc w:val="right"/>
        <w:rPr>
          <w:b w:val="0"/>
          <w:bCs w:val="0"/>
          <w:szCs w:val="20"/>
        </w:rPr>
      </w:pPr>
      <w:r w:rsidRPr="0000131B">
        <w:rPr>
          <w:rFonts w:hint="cs"/>
          <w:b w:val="0"/>
          <w:bCs w:val="0"/>
          <w:szCs w:val="20"/>
          <w:rtl/>
        </w:rPr>
        <w:t>מספר פנימי:</w:t>
      </w:r>
      <w:r>
        <w:rPr>
          <w:rFonts w:hint="cs"/>
          <w:b w:val="0"/>
          <w:bCs w:val="0"/>
          <w:szCs w:val="20"/>
        </w:rPr>
        <w:t xml:space="preserve"> </w:t>
      </w:r>
      <w:bookmarkStart w:id="0" w:name="LGS_Internal_ID"/>
      <w:r>
        <w:rPr>
          <w:rFonts w:hint="cs"/>
          <w:b w:val="0"/>
          <w:bCs w:val="0"/>
          <w:szCs w:val="20"/>
          <w:rtl/>
        </w:rPr>
        <w:t>2013211</w:t>
      </w:r>
      <w:bookmarkEnd w:id="0"/>
      <w:r w:rsidRPr="0000131B">
        <w:rPr>
          <w:rFonts w:hint="cs"/>
          <w:b w:val="0"/>
          <w:bCs w:val="0"/>
          <w:szCs w:val="20"/>
          <w:rtl/>
        </w:rPr>
        <w:t xml:space="preserve"> </w:t>
      </w:r>
    </w:p>
    <w:p w14:paraId="741C1AFF" w14:textId="77777777" w:rsidR="00052BC8" w:rsidRPr="00DB7060" w:rsidRDefault="00052BC8" w:rsidP="00052BC8">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5449727" w14:textId="77777777" w:rsidR="00052BC8" w:rsidRPr="00F67051" w:rsidRDefault="00052BC8" w:rsidP="00052BC8">
      <w:pPr>
        <w:rPr>
          <w:rFonts w:cs="David"/>
          <w:b/>
          <w:bCs/>
          <w:sz w:val="26"/>
          <w:szCs w:val="26"/>
          <w:rtl/>
        </w:rPr>
      </w:pPr>
    </w:p>
    <w:p w14:paraId="1BE61A6F" w14:textId="5AAF3C0F" w:rsidR="00052BC8" w:rsidRPr="00CF1AA2" w:rsidRDefault="00052BC8" w:rsidP="00C11F1D">
      <w:pPr>
        <w:pStyle w:val="David"/>
        <w:spacing w:line="360" w:lineRule="auto"/>
        <w:ind w:left="3544"/>
        <w:rPr>
          <w:b/>
          <w:bCs/>
          <w:sz w:val="16"/>
          <w:szCs w:val="16"/>
          <w:rtl/>
        </w:rPr>
      </w:pPr>
      <w:bookmarkStart w:id="2" w:name="LGS_Initiators_List"/>
      <w:bookmarkStart w:id="3" w:name="LGS_PM_Names"/>
      <w:r>
        <w:rPr>
          <w:b/>
          <w:bCs/>
          <w:rtl/>
        </w:rPr>
        <w:t>יוזמים:      חברי הכנסת</w:t>
      </w:r>
      <w:bookmarkEnd w:id="2"/>
      <w:r w:rsidRPr="00F67051">
        <w:rPr>
          <w:b/>
          <w:bCs/>
        </w:rPr>
        <w:tab/>
      </w:r>
      <w:r>
        <w:rPr>
          <w:rFonts w:hint="cs"/>
          <w:b/>
          <w:bCs/>
          <w:rtl/>
        </w:rPr>
        <w:t>מכלוף מיקי זוהר</w:t>
      </w:r>
      <w:r>
        <w:br/>
      </w:r>
      <w:r>
        <w:rPr>
          <w:rFonts w:hint="cs"/>
          <w:b/>
          <w:bCs/>
          <w:rtl/>
        </w:rPr>
        <w:t xml:space="preserve"> </w:t>
      </w:r>
      <w:r>
        <w:tab/>
      </w:r>
      <w:r>
        <w:tab/>
      </w:r>
      <w:r>
        <w:tab/>
      </w:r>
      <w:r>
        <w:tab/>
      </w:r>
      <w:r>
        <w:rPr>
          <w:rFonts w:hint="cs"/>
          <w:b/>
          <w:bCs/>
          <w:rtl/>
        </w:rPr>
        <w:t>איתן כבל</w:t>
      </w:r>
      <w:r>
        <w:br/>
      </w:r>
      <w:r>
        <w:rPr>
          <w:rFonts w:hint="cs"/>
          <w:b/>
          <w:bCs/>
          <w:rtl/>
        </w:rPr>
        <w:t xml:space="preserve"> </w:t>
      </w:r>
      <w:r>
        <w:tab/>
      </w:r>
      <w:r>
        <w:tab/>
      </w:r>
      <w:r>
        <w:tab/>
      </w:r>
      <w:r>
        <w:tab/>
      </w:r>
      <w:r>
        <w:rPr>
          <w:rFonts w:hint="cs"/>
          <w:b/>
          <w:bCs/>
          <w:rtl/>
        </w:rPr>
        <w:t xml:space="preserve">יצחק וקנין </w:t>
      </w:r>
      <w:r>
        <w:tab/>
      </w:r>
      <w:r>
        <w:tab/>
      </w:r>
      <w:r>
        <w:tab/>
      </w:r>
      <w:bookmarkStart w:id="4" w:name="LGS_Join_List"/>
      <w:bookmarkEnd w:id="3"/>
      <w:r>
        <w:rPr>
          <w:rtl/>
        </w:rPr>
        <w:t xml:space="preserve"> </w:t>
      </w:r>
      <w:bookmarkEnd w:id="4"/>
      <w:r w:rsidRPr="00CF1AA2">
        <w:rPr>
          <w:rFonts w:hint="cs"/>
          <w:rtl/>
        </w:rPr>
        <w:tab/>
      </w:r>
      <w:bookmarkStart w:id="5" w:name="LGS_PM_NamesJoin"/>
      <w:r>
        <w:rPr>
          <w:rFonts w:hint="cs"/>
          <w:rtl/>
        </w:rPr>
        <w:t xml:space="preserve"> </w:t>
      </w:r>
      <w:bookmarkEnd w:id="5"/>
    </w:p>
    <w:p w14:paraId="6590D9B5" w14:textId="73FE2DFC" w:rsidR="00052BC8" w:rsidRPr="00C11F1D" w:rsidRDefault="00052BC8" w:rsidP="00052BC8">
      <w:pPr>
        <w:pStyle w:val="David"/>
        <w:spacing w:before="0" w:line="360" w:lineRule="auto"/>
        <w:ind w:left="3544"/>
        <w:rPr>
          <w:rFonts w:hint="cs"/>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r w:rsidR="00C11F1D">
        <w:rPr>
          <w:rFonts w:hint="cs"/>
          <w:rtl/>
        </w:rPr>
        <w:t>פ/3900/20</w:t>
      </w:r>
    </w:p>
    <w:p w14:paraId="26C198B7" w14:textId="024DBC60" w:rsidR="00052BC8" w:rsidRDefault="00052BC8" w:rsidP="00C11F1D">
      <w:pPr>
        <w:pStyle w:val="HeadHatzaotHok"/>
        <w:spacing w:line="240" w:lineRule="auto"/>
        <w:jc w:val="left"/>
        <w:rPr>
          <w:rtl/>
        </w:rPr>
      </w:pPr>
      <w:bookmarkStart w:id="6" w:name="LGS_Subject"/>
      <w:r>
        <w:t xml:space="preserve">         </w:t>
      </w:r>
      <w:r>
        <w:rPr>
          <w:rFonts w:hint="cs"/>
          <w:rtl/>
        </w:rPr>
        <w:t>הצעת חוק לתיקון פקודת ביטוח רכב מנועי (מרכיב ההעמסה בתעריף הביטוח), התשע"ז–2017</w:t>
      </w:r>
      <w:bookmarkEnd w:id="6"/>
    </w:p>
    <w:p w14:paraId="00FCD63D" w14:textId="77777777" w:rsidR="00052BC8" w:rsidRPr="00E06736" w:rsidRDefault="00052BC8" w:rsidP="00C11F1D">
      <w:pPr>
        <w:pStyle w:val="David"/>
        <w:spacing w:before="0" w:line="240" w:lineRule="auto"/>
        <w:ind w:left="3544"/>
        <w:rPr>
          <w:rtl/>
        </w:rPr>
      </w:pPr>
      <w:r>
        <w:t xml:space="preserve">                   </w:t>
      </w:r>
    </w:p>
    <w:p w14:paraId="4C4F2B11" w14:textId="77777777" w:rsidR="00052BC8" w:rsidRDefault="00052BC8" w:rsidP="00C11F1D">
      <w:pPr>
        <w:pStyle w:val="HeadDivreiHesber"/>
        <w:spacing w:before="0" w:after="0" w:line="240" w:lineRule="auto"/>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052BC8" w14:paraId="2ACFD446" w14:textId="77777777" w:rsidTr="0079482D">
        <w:trPr>
          <w:cantSplit/>
          <w:trHeight w:val="60"/>
        </w:trPr>
        <w:tc>
          <w:tcPr>
            <w:tcW w:w="1871" w:type="dxa"/>
          </w:tcPr>
          <w:p w14:paraId="143404DE" w14:textId="3DC1F492" w:rsidR="00052BC8" w:rsidRDefault="000F50ED" w:rsidP="000F50ED">
            <w:pPr>
              <w:pStyle w:val="TableSideHeading"/>
              <w:keepLines w:val="0"/>
            </w:pPr>
            <w:r>
              <w:rPr>
                <w:rFonts w:hint="cs"/>
                <w:rtl/>
              </w:rPr>
              <w:t xml:space="preserve">תיקון </w:t>
            </w:r>
            <w:r w:rsidR="00052BC8">
              <w:rPr>
                <w:rFonts w:hint="cs"/>
                <w:rtl/>
              </w:rPr>
              <w:t>סעיף 7א</w:t>
            </w:r>
          </w:p>
        </w:tc>
        <w:tc>
          <w:tcPr>
            <w:tcW w:w="624" w:type="dxa"/>
          </w:tcPr>
          <w:p w14:paraId="2AAB7C63" w14:textId="407A9529" w:rsidR="00052BC8" w:rsidRPr="00904939" w:rsidRDefault="00052BC8" w:rsidP="0079482D">
            <w:pPr>
              <w:pStyle w:val="TableText"/>
            </w:pPr>
            <w:r>
              <w:rPr>
                <w:rFonts w:hint="cs"/>
                <w:rtl/>
              </w:rPr>
              <w:t>1.</w:t>
            </w:r>
          </w:p>
        </w:tc>
        <w:tc>
          <w:tcPr>
            <w:tcW w:w="7146" w:type="dxa"/>
          </w:tcPr>
          <w:p w14:paraId="0FCF9D3D" w14:textId="3ECA2B3E" w:rsidR="00052BC8" w:rsidRPr="00052BC8" w:rsidRDefault="00052BC8" w:rsidP="00C11F1D">
            <w:pPr>
              <w:pStyle w:val="TableBlock"/>
              <w:rPr>
                <w:b/>
                <w:bCs/>
              </w:rPr>
            </w:pPr>
            <w:r w:rsidRPr="00052BC8">
              <w:rPr>
                <w:rtl/>
              </w:rPr>
              <w:t>בפקודת ביטוח רכב מנועי [נוסח חדש], התש"ל–1970</w:t>
            </w:r>
            <w:r w:rsidRPr="000F50ED">
              <w:rPr>
                <w:rStyle w:val="a6"/>
                <w:sz w:val="26"/>
                <w:rtl/>
              </w:rPr>
              <w:footnoteReference w:id="2"/>
            </w:r>
            <w:r w:rsidRPr="00052BC8">
              <w:rPr>
                <w:rtl/>
              </w:rPr>
              <w:t xml:space="preserve">, </w:t>
            </w:r>
            <w:r w:rsidR="000F50ED">
              <w:rPr>
                <w:rFonts w:hint="cs"/>
                <w:rtl/>
              </w:rPr>
              <w:t>ב</w:t>
            </w:r>
            <w:r>
              <w:rPr>
                <w:rFonts w:hint="cs"/>
                <w:rtl/>
              </w:rPr>
              <w:t>סעיף 7</w:t>
            </w:r>
            <w:r w:rsidR="000F50ED">
              <w:rPr>
                <w:rFonts w:hint="cs"/>
                <w:rtl/>
              </w:rPr>
              <w:t>א(ב)</w:t>
            </w:r>
            <w:r w:rsidR="00C11F1D">
              <w:rPr>
                <w:rFonts w:hint="cs"/>
                <w:b/>
                <w:bCs/>
                <w:rtl/>
              </w:rPr>
              <w:t xml:space="preserve">, </w:t>
            </w:r>
            <w:r w:rsidR="000F50ED">
              <w:rPr>
                <w:rFonts w:hint="cs"/>
                <w:rtl/>
              </w:rPr>
              <w:t>במקום "בין 5.5 אחוזים ל-6.5 אחוזים" יבוא "11%".</w:t>
            </w:r>
          </w:p>
        </w:tc>
      </w:tr>
    </w:tbl>
    <w:p w14:paraId="0A197030" w14:textId="77777777" w:rsidR="00052BC8" w:rsidRDefault="00052BC8" w:rsidP="00052BC8">
      <w:pPr>
        <w:pStyle w:val="HeadDivreiHesber"/>
        <w:rPr>
          <w:rtl/>
        </w:rPr>
      </w:pPr>
      <w:r w:rsidRPr="0027450A">
        <w:rPr>
          <w:rFonts w:hint="cs"/>
          <w:rtl/>
        </w:rPr>
        <w:t>דברי הסבר</w:t>
      </w:r>
    </w:p>
    <w:p w14:paraId="1A400D3D" w14:textId="3937A1C1" w:rsidR="00F853DD" w:rsidRDefault="00F853DD" w:rsidP="00F853DD">
      <w:pPr>
        <w:pStyle w:val="Hesber"/>
        <w:rPr>
          <w:sz w:val="26"/>
        </w:rPr>
      </w:pPr>
      <w:r>
        <w:rPr>
          <w:rFonts w:hint="cs"/>
          <w:sz w:val="26"/>
          <w:rtl/>
        </w:rPr>
        <w:t>שיטת הביטוח בישראל בשל פגיעות גוף בתאונות דרכים מבוססת על שיטת "העדר אשם". בפועל, השיטה מטילה על הנפגע את האחריות הביטוחית לנזקיו. כך, נהג משאית צריך לבטח עצמו לא כנגד פגיעה בנהגים אחרים אלא כנגד היפגעותו בתאונה, מה שאמור היה להפחית את תעריפי הביטוח שלו.</w:t>
      </w:r>
    </w:p>
    <w:p w14:paraId="780A82E9" w14:textId="28B21130" w:rsidR="00F853DD" w:rsidRDefault="00F853DD" w:rsidP="00F853DD">
      <w:pPr>
        <w:pStyle w:val="Hesber"/>
        <w:rPr>
          <w:sz w:val="26"/>
          <w:rtl/>
        </w:rPr>
      </w:pPr>
      <w:r>
        <w:rPr>
          <w:rFonts w:hint="cs"/>
          <w:sz w:val="26"/>
          <w:rtl/>
        </w:rPr>
        <w:t>ההעמסה עושה צדק בתיקון העיוות המובנה, מכיוון שרוכבי אופנועים לסוגיהם חשופים יותר לפגיע</w:t>
      </w:r>
      <w:r w:rsidR="00C11F1D">
        <w:rPr>
          <w:rFonts w:hint="cs"/>
          <w:sz w:val="26"/>
          <w:rtl/>
        </w:rPr>
        <w:t>ו</w:t>
      </w:r>
      <w:r>
        <w:rPr>
          <w:rFonts w:hint="cs"/>
          <w:sz w:val="26"/>
          <w:rtl/>
        </w:rPr>
        <w:t xml:space="preserve">ת </w:t>
      </w:r>
      <w:r w:rsidR="00C11F1D">
        <w:rPr>
          <w:rFonts w:hint="cs"/>
          <w:sz w:val="26"/>
          <w:rtl/>
        </w:rPr>
        <w:t xml:space="preserve">בשל </w:t>
      </w:r>
      <w:r>
        <w:rPr>
          <w:rFonts w:hint="cs"/>
          <w:sz w:val="26"/>
          <w:rtl/>
        </w:rPr>
        <w:t xml:space="preserve">תשתית </w:t>
      </w:r>
      <w:r w:rsidR="00C11F1D">
        <w:rPr>
          <w:rFonts w:hint="cs"/>
          <w:sz w:val="26"/>
          <w:rtl/>
        </w:rPr>
        <w:t xml:space="preserve">לקויה </w:t>
      </w:r>
      <w:r>
        <w:rPr>
          <w:rFonts w:hint="cs"/>
          <w:sz w:val="26"/>
          <w:rtl/>
        </w:rPr>
        <w:t>(בורות, מהמורות, צבעים גורמי החלקה, נזילות דלק, מכשולים ועוד) ופגיעים יותר על ידי כלי רכב אחרים. במקביל אין הרוכבים מסכנים, כמעט, הולכי רגל או רוכבים אחרים.</w:t>
      </w:r>
    </w:p>
    <w:p w14:paraId="464D102B" w14:textId="1E3262FB" w:rsidR="00F853DD" w:rsidRDefault="00DE4FBF" w:rsidP="00F853DD">
      <w:pPr>
        <w:pStyle w:val="Hesber"/>
        <w:rPr>
          <w:sz w:val="26"/>
          <w:rtl/>
        </w:rPr>
      </w:pPr>
      <w:r>
        <w:rPr>
          <w:rFonts w:hint="cs"/>
          <w:sz w:val="26"/>
          <w:rtl/>
        </w:rPr>
        <w:t>בתיקון מס' 20 לפ</w:t>
      </w:r>
      <w:r w:rsidR="00C11F1D">
        <w:rPr>
          <w:rFonts w:hint="cs"/>
          <w:sz w:val="26"/>
          <w:rtl/>
        </w:rPr>
        <w:t>קודת ביטוח רכב מנועי [נוסח חדש]</w:t>
      </w:r>
      <w:r>
        <w:rPr>
          <w:rFonts w:hint="cs"/>
          <w:sz w:val="26"/>
          <w:rtl/>
        </w:rPr>
        <w:t>, התש"ל</w:t>
      </w:r>
      <w:r>
        <w:rPr>
          <w:rFonts w:hint="eastAsia"/>
          <w:sz w:val="26"/>
          <w:rtl/>
        </w:rPr>
        <w:t>–1970</w:t>
      </w:r>
      <w:r w:rsidR="00C11F1D">
        <w:rPr>
          <w:rFonts w:hint="cs"/>
          <w:sz w:val="26"/>
          <w:rtl/>
        </w:rPr>
        <w:t xml:space="preserve"> (להלן </w:t>
      </w:r>
      <w:r w:rsidR="00C11F1D">
        <w:rPr>
          <w:rFonts w:hint="eastAsia"/>
          <w:sz w:val="26"/>
          <w:rtl/>
        </w:rPr>
        <w:t>–</w:t>
      </w:r>
      <w:r w:rsidR="00C11F1D">
        <w:rPr>
          <w:rFonts w:hint="cs"/>
          <w:sz w:val="26"/>
          <w:rtl/>
        </w:rPr>
        <w:t xml:space="preserve"> הפקודה)</w:t>
      </w:r>
      <w:r>
        <w:rPr>
          <w:rFonts w:hint="cs"/>
          <w:sz w:val="26"/>
          <w:rtl/>
        </w:rPr>
        <w:t xml:space="preserve">, שהתקבל </w:t>
      </w:r>
      <w:r w:rsidR="00F853DD">
        <w:rPr>
          <w:rFonts w:hint="cs"/>
          <w:sz w:val="26"/>
          <w:rtl/>
        </w:rPr>
        <w:t>בשנת 2012</w:t>
      </w:r>
      <w:r>
        <w:rPr>
          <w:rFonts w:hint="cs"/>
          <w:sz w:val="26"/>
          <w:rtl/>
        </w:rPr>
        <w:t>,</w:t>
      </w:r>
      <w:r w:rsidR="00F853DD">
        <w:rPr>
          <w:rFonts w:hint="cs"/>
          <w:sz w:val="26"/>
          <w:rtl/>
        </w:rPr>
        <w:t xml:space="preserve"> קבע המחוקק כי אחוז ההעמסה ינוע בין 5.5%-6.5%, זאת במטרה להעניק גמישות בקביעת התעריפים בטווח האמור בהתאם לשינוי נסיבות בעתיד, ולטובת קידום תחבורה דו-גלגלית כאלטרנטיבה לרכב פרטי בהתאם להחלטת הממשלה. חרף קביעת המחוקק,  תעריפי הביטוח בפועל נותרו גבוהים וממשיכים להוות  מכשול בפני הציבור. </w:t>
      </w:r>
    </w:p>
    <w:p w14:paraId="15720E47" w14:textId="7DAE5F1A" w:rsidR="00F853DD" w:rsidRDefault="00C11F1D" w:rsidP="00F853DD">
      <w:pPr>
        <w:pStyle w:val="Hesber"/>
        <w:rPr>
          <w:sz w:val="26"/>
          <w:rtl/>
        </w:rPr>
      </w:pPr>
      <w:r>
        <w:rPr>
          <w:rFonts w:hint="cs"/>
          <w:sz w:val="26"/>
          <w:rtl/>
        </w:rPr>
        <w:t>בדו</w:t>
      </w:r>
      <w:r w:rsidR="00F853DD">
        <w:rPr>
          <w:rFonts w:hint="cs"/>
          <w:sz w:val="26"/>
          <w:rtl/>
        </w:rPr>
        <w:t xml:space="preserve">ח מבקר המדינה האחרון משנת 2016 התריע המבקר כי בענף הביטוח הדו גלגלי ישנם מספר הרוכבים הגבוה ביותר (49%) שאינם רוכשים ביטוח חובה לפחות חודשיים בשנה. </w:t>
      </w:r>
    </w:p>
    <w:p w14:paraId="539A664D" w14:textId="77777777" w:rsidR="00F853DD" w:rsidRDefault="00F853DD" w:rsidP="00F853DD">
      <w:pPr>
        <w:pStyle w:val="Hesber"/>
        <w:rPr>
          <w:sz w:val="26"/>
          <w:rtl/>
        </w:rPr>
      </w:pPr>
      <w:r>
        <w:rPr>
          <w:rFonts w:hint="cs"/>
          <w:sz w:val="26"/>
          <w:rtl/>
        </w:rPr>
        <w:t>תיקון הפקודה אינו מטיל עלות כלשהי על תקציב המדינה בהיותו מכשיר להסדרת ביטוח החובה שבהתאם למצב כיום, מסור כולו לידי השוק הפרטי.</w:t>
      </w:r>
    </w:p>
    <w:p w14:paraId="079B5A6D" w14:textId="266FD09D" w:rsidR="00C72DB2" w:rsidRDefault="00C72DB2" w:rsidP="00DE4FBF">
      <w:pPr>
        <w:pStyle w:val="Hesber"/>
        <w:rPr>
          <w:sz w:val="26"/>
          <w:rtl/>
        </w:rPr>
      </w:pPr>
      <w:r>
        <w:rPr>
          <w:rFonts w:hint="cs"/>
          <w:sz w:val="26"/>
          <w:rtl/>
        </w:rPr>
        <w:t xml:space="preserve">חברות הביטוח הרוויחו בין השנים 2001 ועד 2008, סכום של כ-6.2 מיליארד שקלים חדשים בענף ביטוח החובה בלבד. </w:t>
      </w:r>
      <w:r w:rsidR="00F853DD">
        <w:rPr>
          <w:rFonts w:hint="cs"/>
          <w:sz w:val="26"/>
          <w:rtl/>
        </w:rPr>
        <w:t xml:space="preserve"> </w:t>
      </w:r>
      <w:r>
        <w:rPr>
          <w:rFonts w:hint="cs"/>
          <w:sz w:val="26"/>
          <w:rtl/>
        </w:rPr>
        <w:t xml:space="preserve">אין זה ראוי שהמחוקק יפקיד בידי חברות הביטוח את הזכות להרוויח סכומים כה גבוהים ובמקביל ישלול את הפתרון של מתן מענה גם לאוכלוסיית רוכבי האופנועים. </w:t>
      </w:r>
    </w:p>
    <w:p w14:paraId="65536DC3" w14:textId="4ABB5D4C" w:rsidR="00F853DD" w:rsidRDefault="00F853DD" w:rsidP="00DE4FBF">
      <w:pPr>
        <w:pStyle w:val="Hesber"/>
        <w:rPr>
          <w:sz w:val="26"/>
          <w:rtl/>
        </w:rPr>
      </w:pPr>
      <w:r>
        <w:rPr>
          <w:rFonts w:hint="cs"/>
          <w:sz w:val="26"/>
          <w:rtl/>
        </w:rPr>
        <w:lastRenderedPageBreak/>
        <w:t xml:space="preserve">מוצע </w:t>
      </w:r>
      <w:r w:rsidR="000F50ED">
        <w:rPr>
          <w:rFonts w:hint="cs"/>
          <w:sz w:val="26"/>
          <w:rtl/>
        </w:rPr>
        <w:t>לקבוע כי מרכיב ההעמסה הצפוי למימון העלות לביטוח אופנועים יעמוד על שיעור של 11%</w:t>
      </w:r>
      <w:r w:rsidR="00DE4FBF">
        <w:rPr>
          <w:rFonts w:hint="cs"/>
          <w:sz w:val="26"/>
          <w:rtl/>
        </w:rPr>
        <w:t xml:space="preserve"> מעלות הסיכון,</w:t>
      </w:r>
      <w:r w:rsidR="000F50ED">
        <w:rPr>
          <w:rFonts w:hint="cs"/>
          <w:sz w:val="26"/>
          <w:rtl/>
        </w:rPr>
        <w:t xml:space="preserve"> </w:t>
      </w:r>
      <w:r>
        <w:rPr>
          <w:rFonts w:hint="cs"/>
          <w:sz w:val="26"/>
          <w:rtl/>
        </w:rPr>
        <w:t>כך שמרכיב ההעמסה בתעריף ביטוח</w:t>
      </w:r>
      <w:r w:rsidR="00C72DB2">
        <w:rPr>
          <w:rFonts w:hint="cs"/>
          <w:sz w:val="26"/>
          <w:rtl/>
        </w:rPr>
        <w:t xml:space="preserve"> החובה</w:t>
      </w:r>
      <w:r>
        <w:rPr>
          <w:rFonts w:hint="cs"/>
          <w:sz w:val="26"/>
          <w:rtl/>
        </w:rPr>
        <w:t xml:space="preserve"> </w:t>
      </w:r>
      <w:r w:rsidR="00DE4FBF">
        <w:rPr>
          <w:rFonts w:hint="cs"/>
          <w:sz w:val="26"/>
          <w:rtl/>
        </w:rPr>
        <w:t xml:space="preserve">יהיה </w:t>
      </w:r>
      <w:r w:rsidR="00C72DB2">
        <w:rPr>
          <w:rFonts w:hint="cs"/>
          <w:sz w:val="26"/>
          <w:rtl/>
        </w:rPr>
        <w:t xml:space="preserve">11% </w:t>
      </w:r>
      <w:r>
        <w:rPr>
          <w:rFonts w:hint="cs"/>
          <w:sz w:val="26"/>
          <w:rtl/>
        </w:rPr>
        <w:t>מעלות הסיכון הטהור.</w:t>
      </w:r>
    </w:p>
    <w:p w14:paraId="45F67637" w14:textId="2DBC8FE4" w:rsidR="00C72DB2" w:rsidRDefault="00C72DB2" w:rsidP="00DE4FBF">
      <w:pPr>
        <w:pStyle w:val="Hesber"/>
        <w:rPr>
          <w:sz w:val="26"/>
          <w:rtl/>
        </w:rPr>
      </w:pPr>
      <w:r>
        <w:rPr>
          <w:rFonts w:hint="cs"/>
          <w:sz w:val="26"/>
          <w:rtl/>
        </w:rPr>
        <w:t>הצעת ח</w:t>
      </w:r>
      <w:bookmarkStart w:id="7" w:name="_GoBack"/>
      <w:bookmarkEnd w:id="7"/>
      <w:r>
        <w:rPr>
          <w:rFonts w:hint="cs"/>
          <w:sz w:val="26"/>
          <w:rtl/>
        </w:rPr>
        <w:t>וק דומה בעיקרה הונחה על שולחן הכנסת השמונה-עשרה על ידי חבר הכנסת כרמל שאמה הכהן (פ/3941/18).</w:t>
      </w:r>
    </w:p>
    <w:p w14:paraId="6542966E" w14:textId="5636D60D" w:rsidR="00C11F1D" w:rsidRDefault="00C11F1D" w:rsidP="00DE4FBF">
      <w:pPr>
        <w:pStyle w:val="Hesber"/>
        <w:rPr>
          <w:sz w:val="26"/>
          <w:rtl/>
        </w:rPr>
      </w:pPr>
    </w:p>
    <w:p w14:paraId="3B01FC3F" w14:textId="77777777" w:rsidR="00C11F1D" w:rsidRDefault="00C11F1D" w:rsidP="00DE4FBF">
      <w:pPr>
        <w:pStyle w:val="Hesber"/>
        <w:rPr>
          <w:sz w:val="26"/>
          <w:rtl/>
        </w:rPr>
      </w:pPr>
    </w:p>
    <w:p w14:paraId="3ADC7712" w14:textId="77777777" w:rsidR="00C11F1D" w:rsidRPr="00C11F1D" w:rsidRDefault="00C11F1D" w:rsidP="00C11F1D">
      <w:pPr>
        <w:pStyle w:val="Hesber"/>
        <w:rPr>
          <w:sz w:val="26"/>
          <w:rtl/>
        </w:rPr>
      </w:pPr>
      <w:r w:rsidRPr="00C11F1D">
        <w:rPr>
          <w:sz w:val="26"/>
          <w:rtl/>
        </w:rPr>
        <w:t>---------------------------------</w:t>
      </w:r>
    </w:p>
    <w:p w14:paraId="36D0B5C5" w14:textId="77777777" w:rsidR="00C11F1D" w:rsidRPr="00C11F1D" w:rsidRDefault="00C11F1D" w:rsidP="00C11F1D">
      <w:pPr>
        <w:pStyle w:val="Hesber"/>
        <w:rPr>
          <w:sz w:val="26"/>
          <w:rtl/>
        </w:rPr>
      </w:pPr>
      <w:r w:rsidRPr="00C11F1D">
        <w:rPr>
          <w:sz w:val="26"/>
          <w:rtl/>
        </w:rPr>
        <w:t>הוגשה ליו"ר הכנסת והסגנים</w:t>
      </w:r>
    </w:p>
    <w:p w14:paraId="7FDA244C" w14:textId="77777777" w:rsidR="00C11F1D" w:rsidRPr="00C11F1D" w:rsidRDefault="00C11F1D" w:rsidP="00C11F1D">
      <w:pPr>
        <w:pStyle w:val="Hesber"/>
        <w:rPr>
          <w:sz w:val="26"/>
          <w:rtl/>
        </w:rPr>
      </w:pPr>
      <w:r w:rsidRPr="00C11F1D">
        <w:rPr>
          <w:sz w:val="26"/>
          <w:rtl/>
        </w:rPr>
        <w:t>והונחה על שולחן הכנסת ביום</w:t>
      </w:r>
    </w:p>
    <w:p w14:paraId="6EAF80BA" w14:textId="77777777" w:rsidR="00C11F1D" w:rsidRPr="00C11F1D" w:rsidRDefault="00C11F1D" w:rsidP="00C11F1D">
      <w:pPr>
        <w:pStyle w:val="Hesber"/>
        <w:rPr>
          <w:sz w:val="26"/>
          <w:rtl/>
        </w:rPr>
      </w:pPr>
      <w:r w:rsidRPr="00C11F1D">
        <w:rPr>
          <w:sz w:val="26"/>
          <w:rtl/>
        </w:rPr>
        <w:t>כ"ד בשבט התשע"ז - 20.2.17</w:t>
      </w:r>
    </w:p>
    <w:p w14:paraId="7C16E04D" w14:textId="77777777" w:rsidR="00C11F1D" w:rsidRDefault="00C11F1D" w:rsidP="00DE4FBF">
      <w:pPr>
        <w:pStyle w:val="Hesber"/>
        <w:rPr>
          <w:sz w:val="26"/>
          <w:rtl/>
        </w:rPr>
      </w:pPr>
    </w:p>
    <w:p w14:paraId="4CA6D138" w14:textId="77777777" w:rsidR="00F853DD" w:rsidRDefault="00F853DD" w:rsidP="00F853DD">
      <w:pPr>
        <w:pStyle w:val="Hesber"/>
        <w:rPr>
          <w:rtl/>
        </w:rPr>
      </w:pPr>
    </w:p>
    <w:p w14:paraId="5A2E2ED5" w14:textId="77777777" w:rsidR="00052BC8" w:rsidRDefault="00052BC8" w:rsidP="00052BC8"/>
    <w:p w14:paraId="7F6961CB" w14:textId="77777777" w:rsidR="00E13C27" w:rsidRPr="00052BC8" w:rsidRDefault="00E13C27" w:rsidP="00052BC8">
      <w:pPr>
        <w:rPr>
          <w:rtl/>
        </w:rPr>
      </w:pPr>
    </w:p>
    <w:sectPr w:rsidR="00E13C27" w:rsidRPr="00052BC8"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11F1D">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1D8AE1CE" w14:textId="77777777" w:rsidR="00052BC8" w:rsidRDefault="00052BC8" w:rsidP="00052BC8">
      <w:pPr>
        <w:pStyle w:val="a4"/>
      </w:pPr>
      <w:r>
        <w:rPr>
          <w:rStyle w:val="a6"/>
        </w:rPr>
        <w:footnoteRef/>
      </w:r>
      <w:r>
        <w:rPr>
          <w:sz w:val="20"/>
          <w:rtl/>
        </w:rPr>
        <w:t xml:space="preserve"> דיני מדינת ישראל, נוסח חדש 15, עמ' 320.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52BC8"/>
    <w:rsid w:val="00063A3E"/>
    <w:rsid w:val="00072CAC"/>
    <w:rsid w:val="0007681A"/>
    <w:rsid w:val="000A542E"/>
    <w:rsid w:val="000F50ED"/>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52A30"/>
    <w:rsid w:val="004A06DC"/>
    <w:rsid w:val="004B24ED"/>
    <w:rsid w:val="004B6625"/>
    <w:rsid w:val="004D2D82"/>
    <w:rsid w:val="004D3876"/>
    <w:rsid w:val="004E4552"/>
    <w:rsid w:val="004E6CDF"/>
    <w:rsid w:val="00553C9D"/>
    <w:rsid w:val="00562A66"/>
    <w:rsid w:val="005B064E"/>
    <w:rsid w:val="005D51AE"/>
    <w:rsid w:val="00606978"/>
    <w:rsid w:val="0062674B"/>
    <w:rsid w:val="006363B2"/>
    <w:rsid w:val="00644940"/>
    <w:rsid w:val="00645DB3"/>
    <w:rsid w:val="006818A9"/>
    <w:rsid w:val="006A2D81"/>
    <w:rsid w:val="006C1D0D"/>
    <w:rsid w:val="0070601E"/>
    <w:rsid w:val="00712C72"/>
    <w:rsid w:val="00712E30"/>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02C24"/>
    <w:rsid w:val="00B10265"/>
    <w:rsid w:val="00B16A99"/>
    <w:rsid w:val="00B21211"/>
    <w:rsid w:val="00B35784"/>
    <w:rsid w:val="00B733A7"/>
    <w:rsid w:val="00B75C91"/>
    <w:rsid w:val="00B975AD"/>
    <w:rsid w:val="00BB401A"/>
    <w:rsid w:val="00BC45FB"/>
    <w:rsid w:val="00BF148D"/>
    <w:rsid w:val="00C11F1D"/>
    <w:rsid w:val="00C23B1A"/>
    <w:rsid w:val="00C310EB"/>
    <w:rsid w:val="00C72DB2"/>
    <w:rsid w:val="00C9176A"/>
    <w:rsid w:val="00CF1AA2"/>
    <w:rsid w:val="00D17774"/>
    <w:rsid w:val="00D63620"/>
    <w:rsid w:val="00D8410D"/>
    <w:rsid w:val="00D867D7"/>
    <w:rsid w:val="00DB7060"/>
    <w:rsid w:val="00DE3153"/>
    <w:rsid w:val="00DE4FBF"/>
    <w:rsid w:val="00DE7907"/>
    <w:rsid w:val="00E06005"/>
    <w:rsid w:val="00E06736"/>
    <w:rsid w:val="00E13C27"/>
    <w:rsid w:val="00E33BBD"/>
    <w:rsid w:val="00E374F2"/>
    <w:rsid w:val="00E45103"/>
    <w:rsid w:val="00E54AE1"/>
    <w:rsid w:val="00E55A60"/>
    <w:rsid w:val="00E62778"/>
    <w:rsid w:val="00E63D38"/>
    <w:rsid w:val="00E665B9"/>
    <w:rsid w:val="00E71C6C"/>
    <w:rsid w:val="00EA01E6"/>
    <w:rsid w:val="00EA3DE8"/>
    <w:rsid w:val="00EA758F"/>
    <w:rsid w:val="00ED4A6F"/>
    <w:rsid w:val="00EF3A3A"/>
    <w:rsid w:val="00F628D6"/>
    <w:rsid w:val="00F67051"/>
    <w:rsid w:val="00F853DD"/>
    <w:rsid w:val="00F86A1E"/>
    <w:rsid w:val="00FA5E88"/>
    <w:rsid w:val="00FF03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uiPriority w:val="99"/>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uiPriority w:val="99"/>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locked/>
    <w:rsid w:val="00712E3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59074">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1CBD20-49C2-4B86-A6BF-1BB605C08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8FF91382-6091-4664-B48C-5759E2AA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372</Words>
  <Characters>1865</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2017-02-16T09:55:00Z</cp:lastPrinted>
  <dcterms:created xsi:type="dcterms:W3CDTF">2015-04-20T09:58:00Z</dcterms:created>
  <dcterms:modified xsi:type="dcterms:W3CDTF">2017-02-16T09:55:00Z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2013211</vt:r8>
  </property>
</Properties>
</file>