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2010228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29AB0F29" w:rsidR="00E13C27" w:rsidRPr="00CF1AA2" w:rsidRDefault="008F6665" w:rsidP="00BE38C9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יואל רזבוזוב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יאיר לפיד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עפר שלח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יעקב פרי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מיקי לוי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קארין אלהרר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יעל גרמן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מאיר כהן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חיים ילין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אלעזר שטרן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עליזה לביא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7F6961AC" w14:textId="2AD487A1" w:rsidR="00E13C27" w:rsidRPr="00BE38C9" w:rsidRDefault="00266D86" w:rsidP="00397484">
      <w:pPr>
        <w:pStyle w:val="David"/>
        <w:spacing w:before="0" w:line="360" w:lineRule="auto"/>
        <w:ind w:left="3544"/>
        <w:rPr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  <w:r w:rsidR="00BE38C9">
        <w:rPr>
          <w:rFonts w:hint="cs"/>
          <w:rtl/>
        </w:rPr>
        <w:t>פ/3858/20</w:t>
      </w:r>
    </w:p>
    <w:p w14:paraId="7F6961AD" w14:textId="6DC96698" w:rsidR="00E13C27" w:rsidRPr="00F67051" w:rsidRDefault="00A443CF" w:rsidP="00A13448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 xml:space="preserve">הצעת חוק החומרים המסוכנים (תיקון </w:t>
      </w:r>
      <w:r w:rsidR="00A13448">
        <w:rPr>
          <w:rFonts w:hint="eastAsia"/>
          <w:rtl/>
        </w:rPr>
        <w:t>–</w:t>
      </w:r>
      <w:r>
        <w:rPr>
          <w:rFonts w:hint="cs"/>
          <w:rtl/>
        </w:rPr>
        <w:t xml:space="preserve"> איסור אחסנה וייבוא של אמוניה), התשע"ז</w:t>
      </w:r>
      <w:r w:rsidR="00A13448">
        <w:rPr>
          <w:rFonts w:hint="eastAsia"/>
          <w:rtl/>
        </w:rPr>
        <w:t>–</w:t>
      </w:r>
      <w:r>
        <w:rPr>
          <w:rFonts w:hint="cs"/>
          <w:rtl/>
        </w:rPr>
        <w:t>2017</w:t>
      </w:r>
      <w:bookmarkEnd w:id="6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8"/>
        <w:gridCol w:w="607"/>
        <w:gridCol w:w="624"/>
        <w:gridCol w:w="624"/>
        <w:gridCol w:w="624"/>
        <w:gridCol w:w="624"/>
        <w:gridCol w:w="4649"/>
      </w:tblGrid>
      <w:tr w:rsidR="00463E55" w:rsidRPr="0004649E" w14:paraId="3DA3B361" w14:textId="77777777" w:rsidTr="00397484">
        <w:trPr>
          <w:cantSplit/>
        </w:trPr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B1257" w14:textId="622CE796" w:rsidR="00463E55" w:rsidRDefault="00700D92" w:rsidP="00643D4A">
            <w:pPr>
              <w:pStyle w:val="TableSideHeading"/>
              <w:ind w:right="0"/>
              <w:rPr>
                <w:rFonts w:ascii="David" w:hAnsi="David"/>
                <w:color w:val="auto"/>
                <w:sz w:val="26"/>
                <w:rtl/>
              </w:rPr>
            </w:pPr>
            <w:r>
              <w:rPr>
                <w:rFonts w:ascii="David" w:hAnsi="David" w:hint="cs"/>
                <w:color w:val="auto"/>
                <w:sz w:val="26"/>
                <w:rtl/>
              </w:rPr>
              <w:t>הוספת</w:t>
            </w:r>
            <w:r w:rsidR="00463E55">
              <w:rPr>
                <w:rFonts w:ascii="David" w:hAnsi="David" w:hint="cs"/>
                <w:color w:val="auto"/>
                <w:sz w:val="26"/>
                <w:rtl/>
              </w:rPr>
              <w:t xml:space="preserve"> סעיף </w:t>
            </w:r>
            <w:r w:rsidR="00643D4A">
              <w:rPr>
                <w:rFonts w:ascii="David" w:hAnsi="David" w:hint="cs"/>
                <w:color w:val="auto"/>
                <w:sz w:val="26"/>
                <w:rtl/>
              </w:rPr>
              <w:t>3</w:t>
            </w:r>
            <w:r>
              <w:rPr>
                <w:rFonts w:ascii="David" w:hAnsi="David" w:hint="cs"/>
                <w:color w:val="auto"/>
                <w:sz w:val="26"/>
                <w:rtl/>
              </w:rPr>
              <w:t>א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6BB63DC" w14:textId="7A71E2FF" w:rsidR="00463E55" w:rsidRDefault="00463E55" w:rsidP="00700D92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F290A3" w14:textId="28294C2E" w:rsidR="00463E55" w:rsidRPr="00BE38C9" w:rsidRDefault="00060048" w:rsidP="00BE38C9">
            <w:pPr>
              <w:pStyle w:val="TableBlock"/>
            </w:pPr>
            <w:r w:rsidRPr="00BE38C9">
              <w:rPr>
                <w:rFonts w:hint="cs"/>
                <w:rtl/>
              </w:rPr>
              <w:t>בחוק הח</w:t>
            </w:r>
            <w:r w:rsidR="00D72A26">
              <w:rPr>
                <w:rFonts w:hint="cs"/>
                <w:rtl/>
              </w:rPr>
              <w:t>ו</w:t>
            </w:r>
            <w:r w:rsidRPr="00BE38C9">
              <w:rPr>
                <w:rFonts w:hint="cs"/>
                <w:rtl/>
              </w:rPr>
              <w:t>מרים המסוכנים, התשנ"ג</w:t>
            </w:r>
            <w:r w:rsidRPr="00BE38C9">
              <w:rPr>
                <w:rFonts w:hint="eastAsia"/>
                <w:rtl/>
              </w:rPr>
              <w:t>–1993</w:t>
            </w:r>
            <w:r w:rsidRPr="00D72A26">
              <w:rPr>
                <w:szCs w:val="20"/>
                <w:rtl/>
              </w:rPr>
              <w:footnoteReference w:id="2"/>
            </w:r>
            <w:r w:rsidR="00BE38C9" w:rsidRPr="00BE38C9">
              <w:rPr>
                <w:rFonts w:hint="cs"/>
                <w:rtl/>
              </w:rPr>
              <w:t xml:space="preserve"> (להלן </w:t>
            </w:r>
            <w:r w:rsidR="00BE38C9" w:rsidRPr="00BE38C9">
              <w:rPr>
                <w:rFonts w:hint="eastAsia"/>
                <w:rtl/>
              </w:rPr>
              <w:t>–</w:t>
            </w:r>
            <w:r w:rsidR="00BE38C9" w:rsidRPr="00BE38C9">
              <w:rPr>
                <w:rFonts w:hint="cs"/>
                <w:rtl/>
              </w:rPr>
              <w:t xml:space="preserve"> החוק העיקרי)</w:t>
            </w:r>
            <w:r w:rsidRPr="00BE38C9">
              <w:rPr>
                <w:rFonts w:hint="cs"/>
                <w:rtl/>
              </w:rPr>
              <w:t xml:space="preserve">, </w:t>
            </w:r>
            <w:r w:rsidR="00700D92" w:rsidRPr="00BE38C9">
              <w:rPr>
                <w:rFonts w:hint="cs"/>
                <w:rtl/>
              </w:rPr>
              <w:t xml:space="preserve">אחרי </w:t>
            </w:r>
            <w:r w:rsidR="00463E55" w:rsidRPr="00BE38C9">
              <w:rPr>
                <w:rFonts w:hint="cs"/>
                <w:rtl/>
              </w:rPr>
              <w:t>סעיף</w:t>
            </w:r>
            <w:r w:rsidRPr="00BE38C9">
              <w:rPr>
                <w:rFonts w:hint="cs"/>
                <w:rtl/>
              </w:rPr>
              <w:t xml:space="preserve"> 3</w:t>
            </w:r>
            <w:r w:rsidR="00700D92" w:rsidRPr="00BE38C9">
              <w:rPr>
                <w:rFonts w:hint="cs"/>
                <w:rtl/>
              </w:rPr>
              <w:t xml:space="preserve"> </w:t>
            </w:r>
            <w:r w:rsidR="00463E55" w:rsidRPr="00BE38C9">
              <w:rPr>
                <w:rFonts w:hint="cs"/>
                <w:rtl/>
              </w:rPr>
              <w:t>יבוא:</w:t>
            </w:r>
          </w:p>
        </w:tc>
      </w:tr>
      <w:tr w:rsidR="00700D92" w14:paraId="1D1BDF5B" w14:textId="77777777" w:rsidTr="000F3625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44EC761F" w14:textId="77777777" w:rsidR="00700D92" w:rsidRDefault="00700D92">
            <w:pPr>
              <w:pStyle w:val="TableSideHeading"/>
              <w:keepLines w:val="0"/>
            </w:pPr>
          </w:p>
        </w:tc>
        <w:tc>
          <w:tcPr>
            <w:tcW w:w="625" w:type="dxa"/>
            <w:gridSpan w:val="2"/>
          </w:tcPr>
          <w:p w14:paraId="3E7C5E00" w14:textId="77777777" w:rsidR="00700D92" w:rsidRDefault="00700D92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442EFE91" w14:textId="72804F08" w:rsidR="00700D92" w:rsidRPr="00700D92" w:rsidRDefault="00700D92" w:rsidP="007269A8">
            <w:pPr>
              <w:pStyle w:val="TableInnerSideHeading"/>
            </w:pPr>
            <w:r>
              <w:rPr>
                <w:rFonts w:hint="cs"/>
                <w:rtl/>
              </w:rPr>
              <w:t>"</w:t>
            </w:r>
            <w:r w:rsidR="007269A8">
              <w:rPr>
                <w:rFonts w:hint="cs"/>
                <w:rtl/>
              </w:rPr>
              <w:t>א</w:t>
            </w:r>
            <w:r w:rsidR="00643D4A">
              <w:rPr>
                <w:rFonts w:hint="cs"/>
                <w:rtl/>
              </w:rPr>
              <w:t>חסנה וייבוא</w:t>
            </w:r>
            <w:r>
              <w:rPr>
                <w:rFonts w:hint="cs"/>
                <w:rtl/>
              </w:rPr>
              <w:t xml:space="preserve"> </w:t>
            </w:r>
            <w:r w:rsidR="00A62D8C">
              <w:rPr>
                <w:rFonts w:hint="cs"/>
                <w:rtl/>
              </w:rPr>
              <w:t xml:space="preserve">של </w:t>
            </w:r>
            <w:r>
              <w:rPr>
                <w:rFonts w:hint="cs"/>
                <w:rtl/>
              </w:rPr>
              <w:t>אמוניה</w:t>
            </w:r>
          </w:p>
        </w:tc>
        <w:tc>
          <w:tcPr>
            <w:tcW w:w="624" w:type="dxa"/>
          </w:tcPr>
          <w:p w14:paraId="59E8CEF9" w14:textId="365499D2" w:rsidR="00700D92" w:rsidRDefault="00643D4A">
            <w:pPr>
              <w:pStyle w:val="TableText"/>
            </w:pPr>
            <w:r>
              <w:rPr>
                <w:rFonts w:hint="cs"/>
                <w:rtl/>
              </w:rPr>
              <w:t>3א</w:t>
            </w:r>
            <w:r w:rsidR="00700D92">
              <w:rPr>
                <w:rFonts w:hint="cs"/>
                <w:rtl/>
              </w:rPr>
              <w:t>.</w:t>
            </w:r>
          </w:p>
        </w:tc>
        <w:tc>
          <w:tcPr>
            <w:tcW w:w="4649" w:type="dxa"/>
          </w:tcPr>
          <w:p w14:paraId="53591F8A" w14:textId="75CCE972" w:rsidR="00700D92" w:rsidRDefault="00700D92" w:rsidP="00700D92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בסעיף זה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00D92" w14:paraId="70E6EA6F" w14:textId="77777777" w:rsidTr="000F3625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28839006" w14:textId="77777777" w:rsidR="00700D92" w:rsidRDefault="00700D92">
            <w:pPr>
              <w:pStyle w:val="TableSideHeading"/>
            </w:pPr>
          </w:p>
        </w:tc>
        <w:tc>
          <w:tcPr>
            <w:tcW w:w="625" w:type="dxa"/>
            <w:gridSpan w:val="2"/>
          </w:tcPr>
          <w:p w14:paraId="5A3910D7" w14:textId="77777777" w:rsidR="00700D92" w:rsidRDefault="00700D92">
            <w:pPr>
              <w:pStyle w:val="TableText"/>
            </w:pPr>
          </w:p>
        </w:tc>
        <w:tc>
          <w:tcPr>
            <w:tcW w:w="624" w:type="dxa"/>
          </w:tcPr>
          <w:p w14:paraId="5A480010" w14:textId="77777777" w:rsidR="00700D92" w:rsidRDefault="00700D92">
            <w:pPr>
              <w:pStyle w:val="TableText"/>
            </w:pPr>
          </w:p>
        </w:tc>
        <w:tc>
          <w:tcPr>
            <w:tcW w:w="624" w:type="dxa"/>
          </w:tcPr>
          <w:p w14:paraId="17375E9A" w14:textId="77777777" w:rsidR="00700D92" w:rsidRDefault="00700D92">
            <w:pPr>
              <w:pStyle w:val="TableText"/>
            </w:pPr>
          </w:p>
        </w:tc>
        <w:tc>
          <w:tcPr>
            <w:tcW w:w="624" w:type="dxa"/>
          </w:tcPr>
          <w:p w14:paraId="4234E5EE" w14:textId="77777777" w:rsidR="00700D92" w:rsidRDefault="00700D92">
            <w:pPr>
              <w:pStyle w:val="TableText"/>
            </w:pPr>
          </w:p>
        </w:tc>
        <w:tc>
          <w:tcPr>
            <w:tcW w:w="624" w:type="dxa"/>
          </w:tcPr>
          <w:p w14:paraId="0265A6D8" w14:textId="77777777" w:rsidR="00700D92" w:rsidRDefault="00700D92">
            <w:pPr>
              <w:pStyle w:val="TableText"/>
            </w:pPr>
          </w:p>
        </w:tc>
        <w:tc>
          <w:tcPr>
            <w:tcW w:w="4649" w:type="dxa"/>
          </w:tcPr>
          <w:p w14:paraId="10BE559C" w14:textId="4D237A62" w:rsidR="00700D92" w:rsidRDefault="00700D92" w:rsidP="000F3625">
            <w:pPr>
              <w:pStyle w:val="TableBlockOutdent"/>
            </w:pPr>
            <w:r>
              <w:rPr>
                <w:rFonts w:hint="cs"/>
                <w:rtl/>
              </w:rPr>
              <w:t xml:space="preserve">"אמוניה"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463E55">
              <w:rPr>
                <w:rtl/>
              </w:rPr>
              <w:t>רעל כאמור בפרט 22 לתוספת השנייה</w:t>
            </w:r>
            <w:r w:rsidR="00060048">
              <w:rPr>
                <w:rFonts w:hint="cs"/>
                <w:rtl/>
              </w:rPr>
              <w:t xml:space="preserve"> שאינו מעורב או ממוזג בח</w:t>
            </w:r>
            <w:r w:rsidR="00D72A26">
              <w:rPr>
                <w:rFonts w:hint="cs"/>
                <w:rtl/>
              </w:rPr>
              <w:t>ו</w:t>
            </w:r>
            <w:r w:rsidR="00060048">
              <w:rPr>
                <w:rFonts w:hint="cs"/>
                <w:rtl/>
              </w:rPr>
              <w:t>מרים אחרים</w:t>
            </w:r>
            <w:r>
              <w:rPr>
                <w:rFonts w:hint="cs"/>
                <w:rtl/>
              </w:rPr>
              <w:t>;</w:t>
            </w:r>
          </w:p>
        </w:tc>
      </w:tr>
      <w:tr w:rsidR="00700D92" w14:paraId="3F2094E5" w14:textId="77777777" w:rsidTr="000F3625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618E76C0" w14:textId="77777777" w:rsidR="00700D92" w:rsidRDefault="00700D92">
            <w:pPr>
              <w:pStyle w:val="TableSideHeading"/>
              <w:rPr>
                <w:rtl/>
              </w:rPr>
            </w:pPr>
          </w:p>
        </w:tc>
        <w:tc>
          <w:tcPr>
            <w:tcW w:w="625" w:type="dxa"/>
            <w:gridSpan w:val="2"/>
          </w:tcPr>
          <w:p w14:paraId="316E81F0" w14:textId="77777777" w:rsidR="00700D92" w:rsidRDefault="00700D92" w:rsidP="00700D92">
            <w:pPr>
              <w:pStyle w:val="TableText"/>
            </w:pPr>
          </w:p>
        </w:tc>
        <w:tc>
          <w:tcPr>
            <w:tcW w:w="624" w:type="dxa"/>
          </w:tcPr>
          <w:p w14:paraId="777B9406" w14:textId="77777777" w:rsidR="00700D92" w:rsidRDefault="00700D92">
            <w:pPr>
              <w:pStyle w:val="TableText"/>
            </w:pPr>
          </w:p>
        </w:tc>
        <w:tc>
          <w:tcPr>
            <w:tcW w:w="624" w:type="dxa"/>
          </w:tcPr>
          <w:p w14:paraId="5AEAA117" w14:textId="77777777" w:rsidR="00700D92" w:rsidRDefault="00700D92">
            <w:pPr>
              <w:pStyle w:val="TableText"/>
            </w:pPr>
          </w:p>
        </w:tc>
        <w:tc>
          <w:tcPr>
            <w:tcW w:w="624" w:type="dxa"/>
          </w:tcPr>
          <w:p w14:paraId="7632D362" w14:textId="77777777" w:rsidR="00700D92" w:rsidRDefault="00700D92">
            <w:pPr>
              <w:pStyle w:val="TableText"/>
            </w:pPr>
          </w:p>
        </w:tc>
        <w:tc>
          <w:tcPr>
            <w:tcW w:w="624" w:type="dxa"/>
          </w:tcPr>
          <w:p w14:paraId="16E44340" w14:textId="77777777" w:rsidR="00700D92" w:rsidRDefault="00700D92">
            <w:pPr>
              <w:pStyle w:val="TableText"/>
            </w:pPr>
          </w:p>
        </w:tc>
        <w:tc>
          <w:tcPr>
            <w:tcW w:w="4649" w:type="dxa"/>
          </w:tcPr>
          <w:p w14:paraId="4DF4B069" w14:textId="74B12387" w:rsidR="00700D92" w:rsidRDefault="00700D92" w:rsidP="000F3625">
            <w:pPr>
              <w:pStyle w:val="TableBlockOutdent"/>
              <w:rPr>
                <w:rtl/>
              </w:rPr>
            </w:pPr>
            <w:r>
              <w:rPr>
                <w:rFonts w:hint="cs"/>
                <w:rtl/>
              </w:rPr>
              <w:t xml:space="preserve">"אתר אחסון"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מקום שבו </w:t>
            </w:r>
            <w:r w:rsidR="002F47A6">
              <w:rPr>
                <w:rFonts w:hint="cs"/>
                <w:rtl/>
              </w:rPr>
              <w:t>מאוחסנת</w:t>
            </w:r>
            <w:r>
              <w:rPr>
                <w:rFonts w:hint="cs"/>
                <w:rtl/>
              </w:rPr>
              <w:t xml:space="preserve"> אמוניה</w:t>
            </w:r>
            <w:r w:rsidR="00BE38C9">
              <w:rPr>
                <w:rFonts w:hint="cs"/>
                <w:rtl/>
              </w:rPr>
              <w:t>.</w:t>
            </w:r>
          </w:p>
        </w:tc>
      </w:tr>
      <w:tr w:rsidR="00060048" w14:paraId="7C0329A7" w14:textId="77777777" w:rsidTr="002F4AFD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2B5BBF53" w14:textId="77777777" w:rsidR="00060048" w:rsidRDefault="00060048">
            <w:pPr>
              <w:pStyle w:val="TableSideHeading"/>
              <w:rPr>
                <w:rtl/>
              </w:rPr>
            </w:pPr>
          </w:p>
        </w:tc>
        <w:tc>
          <w:tcPr>
            <w:tcW w:w="625" w:type="dxa"/>
            <w:gridSpan w:val="2"/>
          </w:tcPr>
          <w:p w14:paraId="79C7A7AB" w14:textId="77777777" w:rsidR="00060048" w:rsidRDefault="00060048" w:rsidP="00700D92">
            <w:pPr>
              <w:pStyle w:val="TableText"/>
            </w:pPr>
          </w:p>
        </w:tc>
        <w:tc>
          <w:tcPr>
            <w:tcW w:w="624" w:type="dxa"/>
          </w:tcPr>
          <w:p w14:paraId="7B784720" w14:textId="77777777" w:rsidR="00060048" w:rsidRDefault="00060048">
            <w:pPr>
              <w:pStyle w:val="TableText"/>
            </w:pPr>
          </w:p>
        </w:tc>
        <w:tc>
          <w:tcPr>
            <w:tcW w:w="624" w:type="dxa"/>
          </w:tcPr>
          <w:p w14:paraId="504D8824" w14:textId="77777777" w:rsidR="00060048" w:rsidRDefault="00060048">
            <w:pPr>
              <w:pStyle w:val="TableText"/>
            </w:pPr>
          </w:p>
        </w:tc>
        <w:tc>
          <w:tcPr>
            <w:tcW w:w="624" w:type="dxa"/>
          </w:tcPr>
          <w:p w14:paraId="496CAE1C" w14:textId="77777777" w:rsidR="00060048" w:rsidRDefault="00060048">
            <w:pPr>
              <w:pStyle w:val="TableText"/>
            </w:pPr>
          </w:p>
        </w:tc>
        <w:tc>
          <w:tcPr>
            <w:tcW w:w="624" w:type="dxa"/>
          </w:tcPr>
          <w:p w14:paraId="69604AA0" w14:textId="77777777" w:rsidR="00060048" w:rsidRDefault="00060048">
            <w:pPr>
              <w:pStyle w:val="TableText"/>
            </w:pPr>
          </w:p>
        </w:tc>
        <w:tc>
          <w:tcPr>
            <w:tcW w:w="4649" w:type="dxa"/>
          </w:tcPr>
          <w:p w14:paraId="2E1BCFE4" w14:textId="4E668FC9" w:rsidR="00060048" w:rsidRDefault="00060048" w:rsidP="000F3625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bookmarkStart w:id="7" w:name="_GoBack"/>
            <w:bookmarkEnd w:id="7"/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לא ייתן הממונה היתר רעלים, כמשמעותו בסעיף 3, לייבוא אמוניה. </w:t>
            </w:r>
          </w:p>
        </w:tc>
      </w:tr>
      <w:tr w:rsidR="00700D92" w14:paraId="7DE425B6" w14:textId="77777777" w:rsidTr="000F3625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49AF2895" w14:textId="40597735" w:rsidR="00700D92" w:rsidRDefault="00700D92">
            <w:pPr>
              <w:pStyle w:val="TableSideHeading"/>
            </w:pPr>
          </w:p>
        </w:tc>
        <w:tc>
          <w:tcPr>
            <w:tcW w:w="625" w:type="dxa"/>
            <w:gridSpan w:val="2"/>
          </w:tcPr>
          <w:p w14:paraId="5FB4C1BB" w14:textId="77777777" w:rsidR="00700D92" w:rsidRDefault="00700D92">
            <w:pPr>
              <w:pStyle w:val="TableText"/>
            </w:pPr>
          </w:p>
        </w:tc>
        <w:tc>
          <w:tcPr>
            <w:tcW w:w="624" w:type="dxa"/>
          </w:tcPr>
          <w:p w14:paraId="34790876" w14:textId="77777777" w:rsidR="00700D92" w:rsidRDefault="00700D92">
            <w:pPr>
              <w:pStyle w:val="TableText"/>
            </w:pPr>
          </w:p>
        </w:tc>
        <w:tc>
          <w:tcPr>
            <w:tcW w:w="624" w:type="dxa"/>
          </w:tcPr>
          <w:p w14:paraId="2246756E" w14:textId="77777777" w:rsidR="00700D92" w:rsidRDefault="00700D92">
            <w:pPr>
              <w:pStyle w:val="TableText"/>
            </w:pPr>
          </w:p>
        </w:tc>
        <w:tc>
          <w:tcPr>
            <w:tcW w:w="624" w:type="dxa"/>
          </w:tcPr>
          <w:p w14:paraId="0413B948" w14:textId="77777777" w:rsidR="00700D92" w:rsidRDefault="00700D92">
            <w:pPr>
              <w:pStyle w:val="TableText"/>
            </w:pPr>
          </w:p>
        </w:tc>
        <w:tc>
          <w:tcPr>
            <w:tcW w:w="624" w:type="dxa"/>
          </w:tcPr>
          <w:p w14:paraId="03B7BB1A" w14:textId="77777777" w:rsidR="00700D92" w:rsidRDefault="00700D92">
            <w:pPr>
              <w:pStyle w:val="TableText"/>
            </w:pPr>
          </w:p>
        </w:tc>
        <w:tc>
          <w:tcPr>
            <w:tcW w:w="4649" w:type="dxa"/>
          </w:tcPr>
          <w:p w14:paraId="3A9193E9" w14:textId="64332FCE" w:rsidR="00700D92" w:rsidRDefault="00700D92" w:rsidP="00060048">
            <w:pPr>
              <w:pStyle w:val="TableBlock"/>
            </w:pPr>
            <w:r>
              <w:rPr>
                <w:rFonts w:hint="cs"/>
                <w:rtl/>
              </w:rPr>
              <w:t>(</w:t>
            </w:r>
            <w:r w:rsidR="00060048">
              <w:rPr>
                <w:rFonts w:hint="cs"/>
                <w:rtl/>
              </w:rPr>
              <w:t>ג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לא יאחסן אדם אמוניה באתר אחסון, בכמות העולה על 100 טון.</w:t>
            </w:r>
            <w:r w:rsidR="00060048">
              <w:rPr>
                <w:rFonts w:hint="cs"/>
                <w:rtl/>
              </w:rPr>
              <w:t>"</w:t>
            </w:r>
          </w:p>
        </w:tc>
      </w:tr>
      <w:tr w:rsidR="00700D92" w14:paraId="757CA2FB" w14:textId="77777777" w:rsidTr="000F3625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4A9D638F" w14:textId="53A6B814" w:rsidR="00700D92" w:rsidRDefault="00700D92">
            <w:pPr>
              <w:pStyle w:val="TableSideHeading"/>
            </w:pPr>
            <w:r>
              <w:rPr>
                <w:rFonts w:hint="cs"/>
                <w:rtl/>
              </w:rPr>
              <w:t>תיקון סעיף 15</w:t>
            </w:r>
          </w:p>
        </w:tc>
        <w:tc>
          <w:tcPr>
            <w:tcW w:w="625" w:type="dxa"/>
            <w:gridSpan w:val="2"/>
          </w:tcPr>
          <w:p w14:paraId="13014F93" w14:textId="25F4CE5D" w:rsidR="00700D92" w:rsidRDefault="00093B7B">
            <w:pPr>
              <w:pStyle w:val="TableText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5" w:type="dxa"/>
            <w:gridSpan w:val="5"/>
          </w:tcPr>
          <w:p w14:paraId="34568016" w14:textId="24270BC2" w:rsidR="00700D92" w:rsidRPr="00C34DE2" w:rsidRDefault="00093B7B">
            <w:pPr>
              <w:pStyle w:val="TableBlock"/>
            </w:pPr>
            <w:r>
              <w:rPr>
                <w:rFonts w:hint="cs"/>
                <w:rtl/>
              </w:rPr>
              <w:t>בסעיף 15(ב) לחוק העיקרי, אחרי פסקה (6) יבוא:</w:t>
            </w:r>
          </w:p>
        </w:tc>
      </w:tr>
      <w:tr w:rsidR="00093B7B" w14:paraId="6881216B" w14:textId="77777777" w:rsidTr="000F3625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24B13AE5" w14:textId="77777777" w:rsidR="00093B7B" w:rsidRDefault="00093B7B">
            <w:pPr>
              <w:pStyle w:val="TableSideHeading"/>
              <w:rPr>
                <w:rtl/>
              </w:rPr>
            </w:pPr>
          </w:p>
        </w:tc>
        <w:tc>
          <w:tcPr>
            <w:tcW w:w="625" w:type="dxa"/>
            <w:gridSpan w:val="2"/>
          </w:tcPr>
          <w:p w14:paraId="3E2D1E03" w14:textId="77777777" w:rsidR="00093B7B" w:rsidRDefault="00093B7B" w:rsidP="00093B7B">
            <w:pPr>
              <w:pStyle w:val="TableText"/>
              <w:rPr>
                <w:rtl/>
              </w:rPr>
            </w:pPr>
          </w:p>
        </w:tc>
        <w:tc>
          <w:tcPr>
            <w:tcW w:w="7145" w:type="dxa"/>
            <w:gridSpan w:val="5"/>
          </w:tcPr>
          <w:p w14:paraId="63E5231E" w14:textId="5334F240" w:rsidR="00093B7B" w:rsidRDefault="00093B7B" w:rsidP="00A62D8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"(7)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מאחסן אמוניה </w:t>
            </w:r>
            <w:r w:rsidR="00A62D8C">
              <w:rPr>
                <w:rFonts w:hint="cs"/>
                <w:rtl/>
              </w:rPr>
              <w:t>בכמות העולה על 100 טון, בניגוד ל</w:t>
            </w:r>
            <w:r>
              <w:rPr>
                <w:rFonts w:hint="cs"/>
                <w:rtl/>
              </w:rPr>
              <w:t xml:space="preserve">הוראות סעיף </w:t>
            </w:r>
            <w:r w:rsidR="00060048">
              <w:rPr>
                <w:rFonts w:hint="cs"/>
                <w:rtl/>
              </w:rPr>
              <w:t>3א</w:t>
            </w:r>
            <w:r>
              <w:rPr>
                <w:rFonts w:hint="cs"/>
                <w:rtl/>
              </w:rPr>
              <w:t>."</w:t>
            </w:r>
          </w:p>
        </w:tc>
      </w:tr>
    </w:tbl>
    <w:p w14:paraId="7F6961CA" w14:textId="53106C92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lastRenderedPageBreak/>
        <w:t>דברי הסבר</w:t>
      </w:r>
    </w:p>
    <w:p w14:paraId="06ED73C1" w14:textId="4AACF2D8" w:rsidR="00397484" w:rsidRPr="000F3625" w:rsidRDefault="00397484" w:rsidP="000F3625">
      <w:pPr>
        <w:pStyle w:val="Hesber"/>
        <w:rPr>
          <w:rtl/>
        </w:rPr>
      </w:pPr>
      <w:r w:rsidRPr="000F3625">
        <w:rPr>
          <w:rtl/>
        </w:rPr>
        <w:t>י</w:t>
      </w:r>
      <w:r w:rsidR="00BE38C9">
        <w:rPr>
          <w:rFonts w:hint="cs"/>
          <w:rtl/>
        </w:rPr>
        <w:t>י</w:t>
      </w:r>
      <w:r w:rsidRPr="000F3625">
        <w:rPr>
          <w:rtl/>
        </w:rPr>
        <w:t xml:space="preserve">בוא האמוניה לישראל ואחסנתו </w:t>
      </w:r>
      <w:r w:rsidR="00A62D8C">
        <w:rPr>
          <w:rFonts w:hint="cs"/>
          <w:rtl/>
        </w:rPr>
        <w:t>בכמות</w:t>
      </w:r>
      <w:r w:rsidR="00060048" w:rsidRPr="000F3625">
        <w:rPr>
          <w:rtl/>
        </w:rPr>
        <w:t xml:space="preserve"> </w:t>
      </w:r>
      <w:r w:rsidR="00A62D8C">
        <w:rPr>
          <w:rFonts w:hint="cs"/>
          <w:rtl/>
        </w:rPr>
        <w:t xml:space="preserve">גדולה </w:t>
      </w:r>
      <w:r w:rsidRPr="000F3625">
        <w:rPr>
          <w:rtl/>
        </w:rPr>
        <w:t>במיכל האמוניה בחיפה, יוצרים סיכונים בלתי סבירים לאוכלוסיית מפרץ חיפה.</w:t>
      </w:r>
      <w:r w:rsidR="00060048" w:rsidRPr="000F3625">
        <w:rPr>
          <w:rtl/>
        </w:rPr>
        <w:t xml:space="preserve"> </w:t>
      </w:r>
      <w:r w:rsidRPr="000F3625">
        <w:rPr>
          <w:rtl/>
        </w:rPr>
        <w:t>מרבית האמוניה המיובאת לישראל ו</w:t>
      </w:r>
      <w:r w:rsidR="00060048" w:rsidRPr="000F3625">
        <w:rPr>
          <w:rtl/>
        </w:rPr>
        <w:t>ה</w:t>
      </w:r>
      <w:r w:rsidRPr="000F3625">
        <w:rPr>
          <w:rtl/>
        </w:rPr>
        <w:t xml:space="preserve">מאוחסנת במיכל </w:t>
      </w:r>
      <w:r w:rsidR="00060048" w:rsidRPr="000F3625">
        <w:rPr>
          <w:rtl/>
        </w:rPr>
        <w:t xml:space="preserve">האמוניה בחיפה, </w:t>
      </w:r>
      <w:r w:rsidRPr="000F3625">
        <w:rPr>
          <w:rtl/>
        </w:rPr>
        <w:t>משמשת כחומר גלם לייצור דשנים ואינה דרושה לצרכים חיוניים של המדינה.</w:t>
      </w:r>
      <w:r w:rsidR="00060048" w:rsidRPr="000F3625">
        <w:rPr>
          <w:rtl/>
        </w:rPr>
        <w:t xml:space="preserve"> </w:t>
      </w:r>
      <w:r w:rsidRPr="000F3625">
        <w:rPr>
          <w:rtl/>
        </w:rPr>
        <w:t>קיימת חלופה בטוחה לצרכני האמוניה, הן לצרכים החיוניים של המדינה והן לצרכי ייצור הדשנים, באמצעות ייצור רציף, שיכול להיות מרוכז או מפוזר במקומות שונים בארץ.</w:t>
      </w:r>
    </w:p>
    <w:p w14:paraId="7F6961CB" w14:textId="4ED9402C" w:rsidR="00E13C27" w:rsidRPr="000F3625" w:rsidRDefault="009F1668" w:rsidP="000F3625">
      <w:pPr>
        <w:pStyle w:val="Hesber"/>
        <w:rPr>
          <w:rtl/>
        </w:rPr>
      </w:pPr>
      <w:r w:rsidRPr="000F3625">
        <w:rPr>
          <w:rtl/>
        </w:rPr>
        <w:t xml:space="preserve">מדינת ישראל </w:t>
      </w:r>
      <w:r w:rsidR="00397484" w:rsidRPr="000F3625">
        <w:rPr>
          <w:rtl/>
        </w:rPr>
        <w:t xml:space="preserve">ערה לסיכון האמור ומסיבה זו הוחלט בשנת 2014 להביא להפסקת ייבוא האמוניה ולסגירת המיכל עד </w:t>
      </w:r>
      <w:r w:rsidRPr="000F3625">
        <w:rPr>
          <w:rtl/>
        </w:rPr>
        <w:t xml:space="preserve">תחילת שנת </w:t>
      </w:r>
      <w:r w:rsidR="00397484" w:rsidRPr="000F3625">
        <w:rPr>
          <w:rtl/>
        </w:rPr>
        <w:t>2017</w:t>
      </w:r>
      <w:r w:rsidR="00A62D8C">
        <w:rPr>
          <w:rFonts w:hint="cs"/>
          <w:rtl/>
        </w:rPr>
        <w:t>.</w:t>
      </w:r>
      <w:r w:rsidR="00A62D8C" w:rsidRPr="000F3625">
        <w:rPr>
          <w:rtl/>
        </w:rPr>
        <w:t xml:space="preserve"> </w:t>
      </w:r>
      <w:r w:rsidR="00397484" w:rsidRPr="000F3625">
        <w:rPr>
          <w:rtl/>
        </w:rPr>
        <w:t>ואולם, ניסיו</w:t>
      </w:r>
      <w:r w:rsidR="00A62D8C">
        <w:rPr>
          <w:rFonts w:hint="cs"/>
          <w:rtl/>
        </w:rPr>
        <w:t>נות</w:t>
      </w:r>
      <w:r w:rsidR="00397484" w:rsidRPr="000F3625">
        <w:rPr>
          <w:rtl/>
        </w:rPr>
        <w:t xml:space="preserve"> המדינה להניע מכרז לייצור אמוניה בנגב נכשל והפעילות המסוכנת נמשכת. משכך</w:t>
      </w:r>
      <w:r w:rsidRPr="000F3625">
        <w:rPr>
          <w:rtl/>
        </w:rPr>
        <w:t>,</w:t>
      </w:r>
      <w:r w:rsidR="00397484" w:rsidRPr="000F3625">
        <w:rPr>
          <w:rtl/>
        </w:rPr>
        <w:t xml:space="preserve"> אין מנוס אלא לאסור </w:t>
      </w:r>
      <w:r w:rsidRPr="000F3625">
        <w:rPr>
          <w:rtl/>
        </w:rPr>
        <w:t xml:space="preserve">על </w:t>
      </w:r>
      <w:r w:rsidR="00397484" w:rsidRPr="000F3625">
        <w:rPr>
          <w:rtl/>
        </w:rPr>
        <w:t xml:space="preserve">ייבוא </w:t>
      </w:r>
      <w:r w:rsidRPr="000F3625">
        <w:rPr>
          <w:rtl/>
        </w:rPr>
        <w:t>אמוניה ואחסונה בכמות העולה על 100 טון</w:t>
      </w:r>
      <w:r w:rsidR="00397484" w:rsidRPr="000F3625">
        <w:rPr>
          <w:rtl/>
        </w:rPr>
        <w:t xml:space="preserve">, באופן שצפוי להניע את צרכני האמוניה לדאוג לייצור רציף </w:t>
      </w:r>
      <w:r w:rsidRPr="000F3625">
        <w:rPr>
          <w:rtl/>
        </w:rPr>
        <w:t>ו</w:t>
      </w:r>
      <w:r w:rsidR="00397484" w:rsidRPr="000F3625">
        <w:rPr>
          <w:rtl/>
        </w:rPr>
        <w:t xml:space="preserve">בטוח של אמוניה. ייצור רציף אינו מצריך אחסון מסוכן של כמויות גדולות של אמוניה. </w:t>
      </w:r>
    </w:p>
    <w:p w14:paraId="074B3948" w14:textId="10499A40" w:rsidR="009F1668" w:rsidRDefault="009F1668" w:rsidP="000F3625">
      <w:pPr>
        <w:pStyle w:val="Hesber"/>
        <w:rPr>
          <w:rtl/>
        </w:rPr>
      </w:pPr>
      <w:r w:rsidRPr="000F3625">
        <w:rPr>
          <w:rtl/>
        </w:rPr>
        <w:t>לפיכך, מוצע לתקן את חוק הח</w:t>
      </w:r>
      <w:r w:rsidR="00D72A26">
        <w:rPr>
          <w:rFonts w:hint="cs"/>
          <w:rtl/>
        </w:rPr>
        <w:t>ו</w:t>
      </w:r>
      <w:r w:rsidRPr="000F3625">
        <w:rPr>
          <w:rtl/>
        </w:rPr>
        <w:t>מרים המסוכנים, התשנ"ג</w:t>
      </w:r>
      <w:r w:rsidRPr="000F3625">
        <w:rPr>
          <w:rFonts w:hint="eastAsia"/>
          <w:rtl/>
        </w:rPr>
        <w:t>–</w:t>
      </w:r>
      <w:r w:rsidRPr="000F3625">
        <w:rPr>
          <w:rtl/>
        </w:rPr>
        <w:t>1993 (</w:t>
      </w:r>
      <w:r w:rsidRPr="000F3625">
        <w:rPr>
          <w:rFonts w:hint="cs"/>
          <w:rtl/>
        </w:rPr>
        <w:t>להלן</w:t>
      </w:r>
      <w:r w:rsidRPr="000F3625">
        <w:rPr>
          <w:rtl/>
        </w:rPr>
        <w:t xml:space="preserve"> – </w:t>
      </w:r>
      <w:r w:rsidRPr="000F3625">
        <w:rPr>
          <w:rFonts w:hint="cs"/>
          <w:rtl/>
        </w:rPr>
        <w:t>החוק</w:t>
      </w:r>
      <w:r w:rsidRPr="000F3625">
        <w:rPr>
          <w:rtl/>
        </w:rPr>
        <w:t>)</w:t>
      </w:r>
      <w:r w:rsidR="00BE38C9">
        <w:rPr>
          <w:rFonts w:hint="cs"/>
          <w:rtl/>
        </w:rPr>
        <w:t>,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ולקבוע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כי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הממונה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לא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ייתן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היתר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לייבוא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אמוניה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וכן</w:t>
      </w:r>
      <w:r w:rsidRPr="000F3625">
        <w:rPr>
          <w:rtl/>
        </w:rPr>
        <w:t xml:space="preserve">, </w:t>
      </w:r>
      <w:r w:rsidRPr="000F3625">
        <w:rPr>
          <w:rFonts w:hint="cs"/>
          <w:rtl/>
        </w:rPr>
        <w:t>לאסור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בחוק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על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אחסון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אמוניה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בכמות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העולה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על</w:t>
      </w:r>
      <w:r w:rsidRPr="000F3625">
        <w:rPr>
          <w:rtl/>
        </w:rPr>
        <w:t xml:space="preserve"> 100 </w:t>
      </w:r>
      <w:r w:rsidRPr="000F3625">
        <w:rPr>
          <w:rFonts w:hint="cs"/>
          <w:rtl/>
        </w:rPr>
        <w:t>טון</w:t>
      </w:r>
      <w:r w:rsidRPr="000F3625">
        <w:rPr>
          <w:rtl/>
        </w:rPr>
        <w:t xml:space="preserve">, </w:t>
      </w:r>
      <w:r w:rsidRPr="000F3625">
        <w:rPr>
          <w:rFonts w:hint="cs"/>
          <w:rtl/>
        </w:rPr>
        <w:t>באתר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אחסון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אחד</w:t>
      </w:r>
      <w:r w:rsidRPr="000F3625">
        <w:rPr>
          <w:rtl/>
        </w:rPr>
        <w:t xml:space="preserve">. </w:t>
      </w:r>
      <w:r w:rsidRPr="000F3625">
        <w:rPr>
          <w:rFonts w:hint="cs"/>
          <w:rtl/>
        </w:rPr>
        <w:t>כמו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כן</w:t>
      </w:r>
      <w:r w:rsidRPr="000F3625">
        <w:rPr>
          <w:rtl/>
        </w:rPr>
        <w:t xml:space="preserve">, </w:t>
      </w:r>
      <w:r w:rsidRPr="000F3625">
        <w:rPr>
          <w:rFonts w:hint="cs"/>
          <w:rtl/>
        </w:rPr>
        <w:t>מוצע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לתקן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את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סעיף</w:t>
      </w:r>
      <w:r w:rsidRPr="000F3625">
        <w:rPr>
          <w:rtl/>
        </w:rPr>
        <w:t xml:space="preserve"> </w:t>
      </w:r>
      <w:r w:rsidRPr="000F3625">
        <w:rPr>
          <w:rFonts w:hint="cs"/>
          <w:rtl/>
        </w:rPr>
        <w:t>העונשין</w:t>
      </w:r>
      <w:r w:rsidRPr="000F3625">
        <w:rPr>
          <w:rtl/>
        </w:rPr>
        <w:t xml:space="preserve"> שבחוק ולקבוע כי אחסון אמוניה </w:t>
      </w:r>
      <w:r w:rsidR="00A62D8C">
        <w:rPr>
          <w:rFonts w:hint="cs"/>
          <w:rtl/>
        </w:rPr>
        <w:t xml:space="preserve">בכמות העולה על 100 טון </w:t>
      </w:r>
      <w:r w:rsidRPr="000F3625">
        <w:rPr>
          <w:rtl/>
        </w:rPr>
        <w:t>הוא עבירה פלילית שדינה מאסר שלוש שנים או שלוש פעמים הקנס האמור בסעיף 61(א)(4) לחוק העונשין, התשל"ז</w:t>
      </w:r>
      <w:r w:rsidRPr="000F3625">
        <w:rPr>
          <w:rFonts w:hint="eastAsia"/>
          <w:rtl/>
        </w:rPr>
        <w:t>–</w:t>
      </w:r>
      <w:r w:rsidRPr="000F3625">
        <w:rPr>
          <w:rtl/>
        </w:rPr>
        <w:t>1977.</w:t>
      </w:r>
    </w:p>
    <w:p w14:paraId="2B51248B" w14:textId="77777777" w:rsidR="00BE38C9" w:rsidRDefault="00BE38C9" w:rsidP="000F3625">
      <w:pPr>
        <w:pStyle w:val="Hesber"/>
        <w:rPr>
          <w:rtl/>
        </w:rPr>
      </w:pPr>
    </w:p>
    <w:p w14:paraId="4D6B976C" w14:textId="77777777" w:rsidR="00BE38C9" w:rsidRDefault="00BE38C9" w:rsidP="000F3625">
      <w:pPr>
        <w:pStyle w:val="Hesber"/>
        <w:rPr>
          <w:rtl/>
        </w:rPr>
      </w:pPr>
    </w:p>
    <w:p w14:paraId="768025BC" w14:textId="77777777" w:rsidR="00BE38C9" w:rsidRDefault="00BE38C9" w:rsidP="000F3625">
      <w:pPr>
        <w:pStyle w:val="Hesber"/>
        <w:rPr>
          <w:rtl/>
        </w:rPr>
      </w:pPr>
    </w:p>
    <w:p w14:paraId="3CDD34CE" w14:textId="77777777" w:rsidR="00BE38C9" w:rsidRPr="00D73212" w:rsidRDefault="00BE38C9" w:rsidP="00BE38C9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0D3F9868" w14:textId="77777777" w:rsidR="00BE38C9" w:rsidRPr="00D73212" w:rsidRDefault="00BE38C9" w:rsidP="00BE38C9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5BC691E4" w14:textId="77777777" w:rsidR="00BE38C9" w:rsidRPr="00D73212" w:rsidRDefault="00BE38C9" w:rsidP="00BE38C9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6BD7B5F0" w14:textId="77777777" w:rsidR="00BE38C9" w:rsidRPr="00317312" w:rsidRDefault="00BE38C9" w:rsidP="00BE38C9">
      <w:pPr>
        <w:pStyle w:val="Hesber"/>
      </w:pPr>
      <w:r>
        <w:rPr>
          <w:rFonts w:hint="cs"/>
          <w:color w:val="auto"/>
          <w:rtl/>
          <w:lang w:eastAsia="en-US"/>
        </w:rPr>
        <w:t>י"ז בשבט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ז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13.2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17</w:t>
      </w:r>
    </w:p>
    <w:p w14:paraId="2830009E" w14:textId="77777777" w:rsidR="00BE38C9" w:rsidRPr="000F3625" w:rsidRDefault="00BE38C9" w:rsidP="000F3625">
      <w:pPr>
        <w:pStyle w:val="Hesber"/>
        <w:rPr>
          <w:rtl/>
        </w:rPr>
      </w:pPr>
    </w:p>
    <w:sectPr w:rsidR="00BE38C9" w:rsidRPr="000F3625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D72A26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0895C23B" w14:textId="77777777" w:rsidR="00060048" w:rsidRDefault="00060048" w:rsidP="00060048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התשנ"ג, עמ' 28.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0048"/>
    <w:rsid w:val="00063A3E"/>
    <w:rsid w:val="00072CAC"/>
    <w:rsid w:val="0007681A"/>
    <w:rsid w:val="00093B7B"/>
    <w:rsid w:val="000A542E"/>
    <w:rsid w:val="000D4B84"/>
    <w:rsid w:val="000F3625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2F47A6"/>
    <w:rsid w:val="002F4AFD"/>
    <w:rsid w:val="003232A2"/>
    <w:rsid w:val="00325C14"/>
    <w:rsid w:val="00353D31"/>
    <w:rsid w:val="0036422C"/>
    <w:rsid w:val="003710F6"/>
    <w:rsid w:val="00386E88"/>
    <w:rsid w:val="00396585"/>
    <w:rsid w:val="00397484"/>
    <w:rsid w:val="003D6E38"/>
    <w:rsid w:val="003D74A0"/>
    <w:rsid w:val="004033D8"/>
    <w:rsid w:val="004073F0"/>
    <w:rsid w:val="00412A7D"/>
    <w:rsid w:val="00416B4D"/>
    <w:rsid w:val="00417CFC"/>
    <w:rsid w:val="00463E55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3D4A"/>
    <w:rsid w:val="00644940"/>
    <w:rsid w:val="006818A9"/>
    <w:rsid w:val="006A2D81"/>
    <w:rsid w:val="006C1D0D"/>
    <w:rsid w:val="00700D92"/>
    <w:rsid w:val="0070601E"/>
    <w:rsid w:val="00712C72"/>
    <w:rsid w:val="007269A8"/>
    <w:rsid w:val="00735FE9"/>
    <w:rsid w:val="00763CAA"/>
    <w:rsid w:val="00765F66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347C"/>
    <w:rsid w:val="00957589"/>
    <w:rsid w:val="00966D06"/>
    <w:rsid w:val="00982412"/>
    <w:rsid w:val="00983A8D"/>
    <w:rsid w:val="009A0DB8"/>
    <w:rsid w:val="009A7257"/>
    <w:rsid w:val="009D6E0A"/>
    <w:rsid w:val="009E1E33"/>
    <w:rsid w:val="009F1668"/>
    <w:rsid w:val="00A0362E"/>
    <w:rsid w:val="00A13448"/>
    <w:rsid w:val="00A14672"/>
    <w:rsid w:val="00A21A34"/>
    <w:rsid w:val="00A26BD6"/>
    <w:rsid w:val="00A443CF"/>
    <w:rsid w:val="00A62D8C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E38C9"/>
    <w:rsid w:val="00BF148D"/>
    <w:rsid w:val="00C23B1A"/>
    <w:rsid w:val="00C310EB"/>
    <w:rsid w:val="00C9176A"/>
    <w:rsid w:val="00CF1AA2"/>
    <w:rsid w:val="00D17774"/>
    <w:rsid w:val="00D63620"/>
    <w:rsid w:val="00D72A26"/>
    <w:rsid w:val="00D8410D"/>
    <w:rsid w:val="00D867D7"/>
    <w:rsid w:val="00DB7060"/>
    <w:rsid w:val="00DD4603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7CC2A52-7C30-40EF-A06A-B08F5CE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4D47D81-C91B-4B1A-A4FA-8BC63E1B8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F90D6A-1586-4E0C-8D54-E6554DDB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409</Words>
  <Characters>1807</Characters>
  <Application>Microsoft Office Word</Application>
  <DocSecurity>0</DocSecurity>
  <Lines>95</Lines>
  <Paragraphs>76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20</cp:revision>
  <cp:lastPrinted>2017-02-09T11:31:00Z</cp:lastPrinted>
  <dcterms:created xsi:type="dcterms:W3CDTF">2015-04-20T09:58:00Z</dcterms:created>
  <dcterms:modified xsi:type="dcterms:W3CDTF">2017-02-12T11:17:00Z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2010228</vt:r8>
  </property>
</Properties>
</file>