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2013134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A" w14:textId="799767D6" w:rsidR="00E13C27" w:rsidRPr="00CF1AA2" w:rsidRDefault="008F6665" w:rsidP="00813A0A">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מיקי לוי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פ/3877/20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53D96933" w:rsidR="00E13C27" w:rsidRPr="00F67051" w:rsidRDefault="00A443CF" w:rsidP="002355D2">
      <w:pPr>
        <w:pStyle w:val="HeadHatzaotHok"/>
        <w:rPr>
          <w:rtl/>
        </w:rPr>
      </w:pPr>
      <w:bookmarkStart w:id="7" w:name="LGS_Subject"/>
      <w:r>
        <w:rPr>
          <w:rFonts w:hint="cs"/>
          <w:rtl/>
        </w:rPr>
        <w:t>הצעת חוק הבנקאות (הגבלת שיעור המימון בהלוואה לרכישת דירה להשקעה) (הוראת שעה), התשע"ז</w:t>
      </w:r>
      <w:r w:rsidR="002355D2">
        <w:rPr>
          <w:rFonts w:hint="eastAsia"/>
          <w:rtl/>
        </w:rPr>
        <w:t>–</w:t>
      </w:r>
      <w:r>
        <w:rPr>
          <w:rFonts w:hint="cs"/>
          <w:rtl/>
        </w:rPr>
        <w:t>2017</w:t>
      </w:r>
      <w:bookmarkStart w:id="8" w:name="_GoBack"/>
      <w:bookmarkEnd w:id="7"/>
      <w:bookmarkEnd w:id="8"/>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E028FA" w14:paraId="0B23EBF4" w14:textId="77777777" w:rsidTr="00532A03">
        <w:trPr>
          <w:cantSplit/>
          <w:trHeight w:val="60"/>
        </w:trPr>
        <w:tc>
          <w:tcPr>
            <w:tcW w:w="1871" w:type="dxa"/>
          </w:tcPr>
          <w:p w14:paraId="23AAC77D" w14:textId="77777777" w:rsidR="00E028FA" w:rsidRDefault="00E028FA" w:rsidP="00532A03">
            <w:pPr>
              <w:pStyle w:val="TableSideHeading"/>
              <w:keepLines w:val="0"/>
              <w:rPr>
                <w:rtl/>
              </w:rPr>
            </w:pPr>
            <w:r w:rsidRPr="00F0287C">
              <w:rPr>
                <w:rtl/>
              </w:rPr>
              <w:t>הגבלת שיעור המימון בהלוואות ל</w:t>
            </w:r>
            <w:r>
              <w:rPr>
                <w:rFonts w:hint="cs"/>
                <w:rtl/>
              </w:rPr>
              <w:t>דירה להשקעה</w:t>
            </w:r>
          </w:p>
        </w:tc>
        <w:tc>
          <w:tcPr>
            <w:tcW w:w="624" w:type="dxa"/>
          </w:tcPr>
          <w:p w14:paraId="69B3D8D4" w14:textId="77777777" w:rsidR="00E028FA" w:rsidRDefault="00E028FA" w:rsidP="00532A03">
            <w:pPr>
              <w:pStyle w:val="TableText"/>
              <w:keepLines w:val="0"/>
              <w:numPr>
                <w:ilvl w:val="0"/>
                <w:numId w:val="12"/>
              </w:numPr>
            </w:pPr>
          </w:p>
        </w:tc>
        <w:tc>
          <w:tcPr>
            <w:tcW w:w="7146" w:type="dxa"/>
            <w:gridSpan w:val="2"/>
          </w:tcPr>
          <w:p w14:paraId="339235BA" w14:textId="77777777" w:rsidR="00E028FA" w:rsidRDefault="00E028FA" w:rsidP="00532A03">
            <w:pPr>
              <w:pStyle w:val="TableBlock"/>
              <w:keepLines w:val="0"/>
              <w:numPr>
                <w:ilvl w:val="2"/>
                <w:numId w:val="12"/>
              </w:numPr>
              <w:rPr>
                <w:rtl/>
              </w:rPr>
            </w:pPr>
            <w:r w:rsidRPr="00B23570">
              <w:rPr>
                <w:rtl/>
              </w:rPr>
              <w:t>תאגיד בנקאי לא יאשר הלוואה לדיור</w:t>
            </w:r>
            <w:r>
              <w:rPr>
                <w:rFonts w:hint="cs"/>
                <w:rtl/>
              </w:rPr>
              <w:t xml:space="preserve"> </w:t>
            </w:r>
            <w:r w:rsidRPr="00B23570">
              <w:rPr>
                <w:rtl/>
              </w:rPr>
              <w:t xml:space="preserve">לצורך רכישת זכות במקרקעין </w:t>
            </w:r>
            <w:r>
              <w:rPr>
                <w:rFonts w:hint="cs"/>
                <w:rtl/>
              </w:rPr>
              <w:t>שהיא</w:t>
            </w:r>
            <w:r w:rsidRPr="00B23570">
              <w:rPr>
                <w:rtl/>
              </w:rPr>
              <w:t xml:space="preserve"> דירה להשקעה</w:t>
            </w:r>
            <w:r>
              <w:rPr>
                <w:rFonts w:hint="cs"/>
                <w:rtl/>
              </w:rPr>
              <w:t xml:space="preserve"> בשיעור מימון העולה על 25% משווי הדירה להשקעה.</w:t>
            </w:r>
          </w:p>
        </w:tc>
      </w:tr>
      <w:tr w:rsidR="00E028FA" w14:paraId="0CD19F35" w14:textId="77777777" w:rsidTr="00532A03">
        <w:trPr>
          <w:cantSplit/>
          <w:trHeight w:val="60"/>
        </w:trPr>
        <w:tc>
          <w:tcPr>
            <w:tcW w:w="1871" w:type="dxa"/>
          </w:tcPr>
          <w:p w14:paraId="7C1F98C6" w14:textId="77777777" w:rsidR="00E028FA" w:rsidRDefault="00E028FA" w:rsidP="00532A03">
            <w:pPr>
              <w:pStyle w:val="TableSideHeading"/>
              <w:keepLines w:val="0"/>
              <w:rPr>
                <w:rtl/>
              </w:rPr>
            </w:pPr>
          </w:p>
        </w:tc>
        <w:tc>
          <w:tcPr>
            <w:tcW w:w="624" w:type="dxa"/>
          </w:tcPr>
          <w:p w14:paraId="6334D96A" w14:textId="77777777" w:rsidR="00E028FA" w:rsidRDefault="00E028FA" w:rsidP="00532A03">
            <w:pPr>
              <w:pStyle w:val="TableText"/>
              <w:keepLines w:val="0"/>
            </w:pPr>
          </w:p>
        </w:tc>
        <w:tc>
          <w:tcPr>
            <w:tcW w:w="7146" w:type="dxa"/>
            <w:gridSpan w:val="2"/>
          </w:tcPr>
          <w:p w14:paraId="7D85B083" w14:textId="77777777" w:rsidR="00E028FA" w:rsidRPr="00B23570" w:rsidRDefault="00E028FA" w:rsidP="00532A03">
            <w:pPr>
              <w:pStyle w:val="TableBlock"/>
              <w:keepLines w:val="0"/>
              <w:numPr>
                <w:ilvl w:val="2"/>
                <w:numId w:val="12"/>
              </w:numPr>
              <w:rPr>
                <w:rtl/>
              </w:rPr>
            </w:pPr>
            <w:r>
              <w:rPr>
                <w:rFonts w:hint="cs"/>
                <w:rtl/>
              </w:rPr>
              <w:t xml:space="preserve">בסעיף זה </w:t>
            </w:r>
            <w:r>
              <w:rPr>
                <w:rFonts w:hint="eastAsia"/>
                <w:rtl/>
              </w:rPr>
              <w:t>–</w:t>
            </w:r>
          </w:p>
        </w:tc>
      </w:tr>
      <w:tr w:rsidR="00E028FA" w14:paraId="326B998E" w14:textId="77777777" w:rsidTr="00532A03">
        <w:trPr>
          <w:cantSplit/>
          <w:trHeight w:val="60"/>
        </w:trPr>
        <w:tc>
          <w:tcPr>
            <w:tcW w:w="1871" w:type="dxa"/>
          </w:tcPr>
          <w:p w14:paraId="60D57344" w14:textId="77777777" w:rsidR="00E028FA" w:rsidRDefault="00E028FA" w:rsidP="00532A03">
            <w:pPr>
              <w:pStyle w:val="TableSideHeading"/>
              <w:keepLines w:val="0"/>
              <w:rPr>
                <w:rtl/>
              </w:rPr>
            </w:pPr>
          </w:p>
        </w:tc>
        <w:tc>
          <w:tcPr>
            <w:tcW w:w="624" w:type="dxa"/>
          </w:tcPr>
          <w:p w14:paraId="77B3EEB0" w14:textId="77777777" w:rsidR="00E028FA" w:rsidRDefault="00E028FA" w:rsidP="00532A03">
            <w:pPr>
              <w:pStyle w:val="TableText"/>
              <w:keepLines w:val="0"/>
            </w:pPr>
          </w:p>
        </w:tc>
        <w:tc>
          <w:tcPr>
            <w:tcW w:w="7146" w:type="dxa"/>
            <w:gridSpan w:val="2"/>
          </w:tcPr>
          <w:p w14:paraId="4CD8C0DC" w14:textId="77777777" w:rsidR="00E028FA" w:rsidRDefault="00E028FA" w:rsidP="002355D2">
            <w:pPr>
              <w:pStyle w:val="TableBlockOutdent"/>
              <w:rPr>
                <w:rtl/>
              </w:rPr>
            </w:pPr>
            <w:r w:rsidRPr="00F0287C">
              <w:rPr>
                <w:rtl/>
              </w:rPr>
              <w:t>"</w:t>
            </w:r>
            <w:r w:rsidRPr="00CD45A1">
              <w:rPr>
                <w:rtl/>
              </w:rPr>
              <w:t>הלוואה</w:t>
            </w:r>
            <w:r w:rsidRPr="00F0287C">
              <w:rPr>
                <w:rtl/>
              </w:rPr>
              <w:t xml:space="preserve"> לדיור"</w:t>
            </w:r>
            <w:r w:rsidRPr="00F0287C">
              <w:rPr>
                <w:rFonts w:hint="cs"/>
                <w:rtl/>
              </w:rPr>
              <w:t xml:space="preserve"> </w:t>
            </w:r>
            <w:r w:rsidRPr="00F0287C">
              <w:rPr>
                <w:rFonts w:hint="eastAsia"/>
                <w:rtl/>
              </w:rPr>
              <w:t>–</w:t>
            </w:r>
            <w:r>
              <w:rPr>
                <w:rFonts w:hint="cs"/>
                <w:rtl/>
              </w:rPr>
              <w:t xml:space="preserve"> כל</w:t>
            </w:r>
            <w:r w:rsidRPr="00660010">
              <w:rPr>
                <w:rtl/>
              </w:rPr>
              <w:t xml:space="preserve"> אחד מאלה, ובלבד שלא </w:t>
            </w:r>
            <w:r w:rsidRPr="002355D2">
              <w:rPr>
                <w:rtl/>
              </w:rPr>
              <w:t>ניתנה</w:t>
            </w:r>
            <w:r w:rsidRPr="00660010">
              <w:rPr>
                <w:rtl/>
              </w:rPr>
              <w:t xml:space="preserve"> למטרת עסק:</w:t>
            </w:r>
          </w:p>
        </w:tc>
      </w:tr>
      <w:tr w:rsidR="00E028FA" w14:paraId="091248E1" w14:textId="77777777" w:rsidTr="00532A03">
        <w:trPr>
          <w:cantSplit/>
          <w:trHeight w:val="60"/>
        </w:trPr>
        <w:tc>
          <w:tcPr>
            <w:tcW w:w="1871" w:type="dxa"/>
          </w:tcPr>
          <w:p w14:paraId="64EEAA0F" w14:textId="77777777" w:rsidR="00E028FA" w:rsidRDefault="00E028FA" w:rsidP="00532A03">
            <w:pPr>
              <w:pStyle w:val="TableSideHeading"/>
            </w:pPr>
          </w:p>
        </w:tc>
        <w:tc>
          <w:tcPr>
            <w:tcW w:w="624" w:type="dxa"/>
          </w:tcPr>
          <w:p w14:paraId="32FEFA9C" w14:textId="77777777" w:rsidR="00E028FA" w:rsidRDefault="00E028FA" w:rsidP="00532A03">
            <w:pPr>
              <w:pStyle w:val="TableText"/>
            </w:pPr>
          </w:p>
        </w:tc>
        <w:tc>
          <w:tcPr>
            <w:tcW w:w="624" w:type="dxa"/>
          </w:tcPr>
          <w:p w14:paraId="7AE1017E" w14:textId="77777777" w:rsidR="00E028FA" w:rsidRDefault="00E028FA" w:rsidP="00532A03">
            <w:pPr>
              <w:pStyle w:val="TableText"/>
            </w:pPr>
          </w:p>
        </w:tc>
        <w:tc>
          <w:tcPr>
            <w:tcW w:w="6522" w:type="dxa"/>
          </w:tcPr>
          <w:p w14:paraId="25034246" w14:textId="77777777" w:rsidR="00E028FA" w:rsidRDefault="00E028FA" w:rsidP="00532A03">
            <w:pPr>
              <w:pStyle w:val="TableBlock"/>
            </w:pPr>
            <w:r>
              <w:rPr>
                <w:rFonts w:hint="cs"/>
                <w:rtl/>
              </w:rPr>
              <w:t>(1)</w:t>
            </w:r>
            <w:r>
              <w:rPr>
                <w:rtl/>
              </w:rPr>
              <w:tab/>
              <w:t>ההלוואה מיועדת לרכישה או לחכירה של דירת</w:t>
            </w:r>
            <w:r>
              <w:rPr>
                <w:rFonts w:hint="cs"/>
                <w:rtl/>
              </w:rPr>
              <w:t xml:space="preserve"> </w:t>
            </w:r>
            <w:r>
              <w:rPr>
                <w:rtl/>
              </w:rPr>
              <w:t xml:space="preserve">מגורים, </w:t>
            </w:r>
            <w:r>
              <w:rPr>
                <w:rFonts w:hint="cs"/>
                <w:rtl/>
              </w:rPr>
              <w:t xml:space="preserve">לרבות </w:t>
            </w:r>
            <w:r>
              <w:rPr>
                <w:rtl/>
              </w:rPr>
              <w:t>בנייתה, הרחבתה או שיפוצה</w:t>
            </w:r>
            <w:r>
              <w:rPr>
                <w:rFonts w:hint="cs"/>
                <w:rtl/>
              </w:rPr>
              <w:t>;</w:t>
            </w:r>
          </w:p>
        </w:tc>
      </w:tr>
      <w:tr w:rsidR="00E028FA" w14:paraId="4C28985D" w14:textId="77777777" w:rsidTr="00532A03">
        <w:trPr>
          <w:cantSplit/>
          <w:trHeight w:val="60"/>
        </w:trPr>
        <w:tc>
          <w:tcPr>
            <w:tcW w:w="1871" w:type="dxa"/>
          </w:tcPr>
          <w:p w14:paraId="1D82A43A" w14:textId="77777777" w:rsidR="00E028FA" w:rsidRDefault="00E028FA" w:rsidP="00532A03">
            <w:pPr>
              <w:pStyle w:val="TableSideHeading"/>
              <w:rPr>
                <w:rtl/>
              </w:rPr>
            </w:pPr>
          </w:p>
        </w:tc>
        <w:tc>
          <w:tcPr>
            <w:tcW w:w="624" w:type="dxa"/>
          </w:tcPr>
          <w:p w14:paraId="37E2F94C" w14:textId="77777777" w:rsidR="00E028FA" w:rsidRDefault="00E028FA" w:rsidP="00532A03">
            <w:pPr>
              <w:pStyle w:val="TableText"/>
            </w:pPr>
          </w:p>
        </w:tc>
        <w:tc>
          <w:tcPr>
            <w:tcW w:w="624" w:type="dxa"/>
          </w:tcPr>
          <w:p w14:paraId="1982A33E" w14:textId="77777777" w:rsidR="00E028FA" w:rsidRDefault="00E028FA" w:rsidP="00532A03">
            <w:pPr>
              <w:pStyle w:val="TableText"/>
            </w:pPr>
          </w:p>
        </w:tc>
        <w:tc>
          <w:tcPr>
            <w:tcW w:w="6522" w:type="dxa"/>
          </w:tcPr>
          <w:p w14:paraId="43BD31B4" w14:textId="77777777" w:rsidR="00E028FA" w:rsidRDefault="00E028FA" w:rsidP="00532A03">
            <w:pPr>
              <w:pStyle w:val="TableBlock"/>
              <w:rPr>
                <w:rtl/>
              </w:rPr>
            </w:pPr>
            <w:r>
              <w:rPr>
                <w:rFonts w:hint="cs"/>
                <w:rtl/>
              </w:rPr>
              <w:t>(2)</w:t>
            </w:r>
            <w:r>
              <w:rPr>
                <w:rtl/>
              </w:rPr>
              <w:tab/>
              <w:t>ההלוואה מיועדת לרכישת מגרש לבניית דירת מגורים</w:t>
            </w:r>
            <w:r>
              <w:rPr>
                <w:rFonts w:hint="cs"/>
                <w:rtl/>
              </w:rPr>
              <w:t xml:space="preserve"> </w:t>
            </w:r>
            <w:r>
              <w:rPr>
                <w:rtl/>
              </w:rPr>
              <w:t>או לרכישת זכות בדירת מגורים תמורת דמי מפתח;</w:t>
            </w:r>
          </w:p>
        </w:tc>
      </w:tr>
      <w:tr w:rsidR="00E028FA" w14:paraId="65CC2E73" w14:textId="77777777" w:rsidTr="00532A03">
        <w:trPr>
          <w:cantSplit/>
          <w:trHeight w:val="60"/>
        </w:trPr>
        <w:tc>
          <w:tcPr>
            <w:tcW w:w="1871" w:type="dxa"/>
          </w:tcPr>
          <w:p w14:paraId="4C69F6AF" w14:textId="77777777" w:rsidR="00E028FA" w:rsidRDefault="00E028FA" w:rsidP="00532A03">
            <w:pPr>
              <w:pStyle w:val="TableSideHeading"/>
              <w:rPr>
                <w:rtl/>
              </w:rPr>
            </w:pPr>
          </w:p>
        </w:tc>
        <w:tc>
          <w:tcPr>
            <w:tcW w:w="624" w:type="dxa"/>
          </w:tcPr>
          <w:p w14:paraId="18297BAE" w14:textId="77777777" w:rsidR="00E028FA" w:rsidRDefault="00E028FA" w:rsidP="00532A03">
            <w:pPr>
              <w:pStyle w:val="TableText"/>
            </w:pPr>
          </w:p>
        </w:tc>
        <w:tc>
          <w:tcPr>
            <w:tcW w:w="624" w:type="dxa"/>
          </w:tcPr>
          <w:p w14:paraId="0A7A8F77" w14:textId="77777777" w:rsidR="00E028FA" w:rsidRDefault="00E028FA" w:rsidP="00532A03">
            <w:pPr>
              <w:pStyle w:val="TableText"/>
            </w:pPr>
          </w:p>
        </w:tc>
        <w:tc>
          <w:tcPr>
            <w:tcW w:w="6522" w:type="dxa"/>
          </w:tcPr>
          <w:p w14:paraId="1ADE8620" w14:textId="77777777" w:rsidR="00E028FA" w:rsidRDefault="00E028FA" w:rsidP="00532A03">
            <w:pPr>
              <w:pStyle w:val="TableBlock"/>
              <w:rPr>
                <w:rtl/>
              </w:rPr>
            </w:pPr>
            <w:r>
              <w:rPr>
                <w:rFonts w:hint="cs"/>
                <w:rtl/>
              </w:rPr>
              <w:t>(3)</w:t>
            </w:r>
            <w:r>
              <w:rPr>
                <w:rtl/>
              </w:rPr>
              <w:tab/>
            </w:r>
            <w:r w:rsidRPr="00660010">
              <w:rPr>
                <w:rtl/>
              </w:rPr>
              <w:t xml:space="preserve">ההלוואה ניתנה </w:t>
            </w:r>
            <w:r>
              <w:rPr>
                <w:rFonts w:hint="cs"/>
                <w:rtl/>
              </w:rPr>
              <w:t xml:space="preserve">כנגד </w:t>
            </w:r>
            <w:r w:rsidRPr="00660010">
              <w:rPr>
                <w:rtl/>
              </w:rPr>
              <w:t>משכון דירת מגורים;</w:t>
            </w:r>
          </w:p>
        </w:tc>
      </w:tr>
      <w:tr w:rsidR="00E028FA" w14:paraId="655D8277" w14:textId="77777777" w:rsidTr="00532A03">
        <w:trPr>
          <w:cantSplit/>
          <w:trHeight w:val="60"/>
        </w:trPr>
        <w:tc>
          <w:tcPr>
            <w:tcW w:w="1871" w:type="dxa"/>
          </w:tcPr>
          <w:p w14:paraId="651ECDCA" w14:textId="77777777" w:rsidR="00E028FA" w:rsidRDefault="00E028FA" w:rsidP="00532A03">
            <w:pPr>
              <w:pStyle w:val="TableSideHeading"/>
              <w:rPr>
                <w:rtl/>
              </w:rPr>
            </w:pPr>
          </w:p>
        </w:tc>
        <w:tc>
          <w:tcPr>
            <w:tcW w:w="624" w:type="dxa"/>
          </w:tcPr>
          <w:p w14:paraId="69C99A51" w14:textId="77777777" w:rsidR="00E028FA" w:rsidRDefault="00E028FA" w:rsidP="00532A03">
            <w:pPr>
              <w:pStyle w:val="TableText"/>
            </w:pPr>
          </w:p>
        </w:tc>
        <w:tc>
          <w:tcPr>
            <w:tcW w:w="624" w:type="dxa"/>
          </w:tcPr>
          <w:p w14:paraId="763210C1" w14:textId="77777777" w:rsidR="00E028FA" w:rsidRDefault="00E028FA" w:rsidP="00532A03">
            <w:pPr>
              <w:pStyle w:val="TableText"/>
            </w:pPr>
          </w:p>
        </w:tc>
        <w:tc>
          <w:tcPr>
            <w:tcW w:w="6522" w:type="dxa"/>
          </w:tcPr>
          <w:p w14:paraId="79B9BB90" w14:textId="77777777" w:rsidR="00E028FA" w:rsidRDefault="00E028FA" w:rsidP="00532A03">
            <w:pPr>
              <w:pStyle w:val="TableBlock"/>
              <w:rPr>
                <w:rtl/>
              </w:rPr>
            </w:pPr>
            <w:r>
              <w:rPr>
                <w:rFonts w:hint="cs"/>
                <w:rtl/>
              </w:rPr>
              <w:t>(4)</w:t>
            </w:r>
            <w:r>
              <w:rPr>
                <w:rtl/>
              </w:rPr>
              <w:tab/>
              <w:t>ההלוואה מיועדת למימון פירעון מוקדם של הלוואה</w:t>
            </w:r>
            <w:r>
              <w:rPr>
                <w:rFonts w:hint="cs"/>
                <w:rtl/>
              </w:rPr>
              <w:t xml:space="preserve">, כולה או חלקה, </w:t>
            </w:r>
            <w:r>
              <w:rPr>
                <w:rtl/>
              </w:rPr>
              <w:t>כאמור</w:t>
            </w:r>
            <w:r>
              <w:rPr>
                <w:rFonts w:hint="cs"/>
                <w:rtl/>
              </w:rPr>
              <w:t xml:space="preserve"> בפסקאות</w:t>
            </w:r>
            <w:r>
              <w:rPr>
                <w:rtl/>
              </w:rPr>
              <w:t xml:space="preserve"> (1)</w:t>
            </w:r>
            <w:r>
              <w:rPr>
                <w:rFonts w:hint="cs"/>
                <w:rtl/>
              </w:rPr>
              <w:t xml:space="preserve"> ו-(2)</w:t>
            </w:r>
            <w:r>
              <w:rPr>
                <w:rtl/>
              </w:rPr>
              <w:t>;</w:t>
            </w:r>
          </w:p>
        </w:tc>
      </w:tr>
      <w:tr w:rsidR="00E028FA" w14:paraId="3A975280" w14:textId="77777777" w:rsidTr="00532A03">
        <w:trPr>
          <w:cantSplit/>
          <w:trHeight w:val="60"/>
        </w:trPr>
        <w:tc>
          <w:tcPr>
            <w:tcW w:w="1871" w:type="dxa"/>
          </w:tcPr>
          <w:p w14:paraId="4F62F283" w14:textId="77777777" w:rsidR="00E028FA" w:rsidRDefault="00E028FA" w:rsidP="00532A03">
            <w:pPr>
              <w:pStyle w:val="TableSideHeading"/>
              <w:rPr>
                <w:rtl/>
              </w:rPr>
            </w:pPr>
          </w:p>
        </w:tc>
        <w:tc>
          <w:tcPr>
            <w:tcW w:w="624" w:type="dxa"/>
          </w:tcPr>
          <w:p w14:paraId="21FE58EB" w14:textId="77777777" w:rsidR="00E028FA" w:rsidRDefault="00E028FA" w:rsidP="00532A03">
            <w:pPr>
              <w:pStyle w:val="TableText"/>
            </w:pPr>
          </w:p>
        </w:tc>
        <w:tc>
          <w:tcPr>
            <w:tcW w:w="7146" w:type="dxa"/>
            <w:gridSpan w:val="2"/>
          </w:tcPr>
          <w:p w14:paraId="35A5F43B" w14:textId="5B609458" w:rsidR="00E028FA" w:rsidRPr="004075AB" w:rsidRDefault="00E028FA" w:rsidP="00532A03">
            <w:pPr>
              <w:pStyle w:val="TableBlockOutdent"/>
              <w:rPr>
                <w:rtl/>
              </w:rPr>
            </w:pPr>
            <w:r w:rsidRPr="004075AB">
              <w:rPr>
                <w:rtl/>
              </w:rPr>
              <w:t>"שיעור מימון" – היחס בין ה</w:t>
            </w:r>
            <w:r w:rsidR="00813A0A">
              <w:rPr>
                <w:rtl/>
              </w:rPr>
              <w:t xml:space="preserve">מסגרת המאושרת בעת העמדת המסגרת </w:t>
            </w:r>
            <w:r w:rsidR="00813A0A">
              <w:rPr>
                <w:rFonts w:hint="cs"/>
                <w:rtl/>
              </w:rPr>
              <w:t>ו</w:t>
            </w:r>
            <w:r w:rsidRPr="004075AB">
              <w:rPr>
                <w:rtl/>
              </w:rPr>
              <w:t>בין שווי הנכס, כפי שאושר על ידי התאגיד הבנקאי בעת העמדת המסגרת וכפי שמחושב לצורך מדידה והלימות הון; שווי הנכס לא יעלה על הנמוך מבין הערכת השמאי ועלות הנכס בהסכם הרכישה, או עלות</w:t>
            </w:r>
            <w:r w:rsidRPr="004075AB">
              <w:rPr>
                <w:rFonts w:hint="cs"/>
                <w:rtl/>
              </w:rPr>
              <w:t>ו</w:t>
            </w:r>
            <w:r w:rsidRPr="004075AB">
              <w:rPr>
                <w:rtl/>
              </w:rPr>
              <w:t xml:space="preserve"> </w:t>
            </w:r>
            <w:r w:rsidRPr="004075AB">
              <w:rPr>
                <w:rFonts w:hint="cs"/>
                <w:rtl/>
              </w:rPr>
              <w:t>ה</w:t>
            </w:r>
            <w:r w:rsidRPr="004075AB">
              <w:rPr>
                <w:rtl/>
              </w:rPr>
              <w:t xml:space="preserve">צפויה </w:t>
            </w:r>
            <w:r w:rsidRPr="004075AB">
              <w:rPr>
                <w:rFonts w:hint="cs"/>
                <w:rtl/>
              </w:rPr>
              <w:t>של ה</w:t>
            </w:r>
            <w:r w:rsidRPr="004075AB">
              <w:rPr>
                <w:rtl/>
              </w:rPr>
              <w:t>נכס בבנ</w:t>
            </w:r>
            <w:r>
              <w:rPr>
                <w:rFonts w:hint="cs"/>
                <w:rtl/>
              </w:rPr>
              <w:t>י</w:t>
            </w:r>
            <w:r w:rsidRPr="004075AB">
              <w:rPr>
                <w:rtl/>
              </w:rPr>
              <w:t xml:space="preserve">יה או </w:t>
            </w:r>
            <w:r w:rsidRPr="004075AB">
              <w:rPr>
                <w:rFonts w:hint="cs"/>
                <w:rtl/>
              </w:rPr>
              <w:t>ב</w:t>
            </w:r>
            <w:r w:rsidRPr="004075AB">
              <w:rPr>
                <w:rtl/>
              </w:rPr>
              <w:t xml:space="preserve">קבוצת רכישה; </w:t>
            </w:r>
            <w:r w:rsidRPr="004075AB">
              <w:rPr>
                <w:rFonts w:hint="cs"/>
                <w:rtl/>
              </w:rPr>
              <w:t>בקביעת</w:t>
            </w:r>
            <w:r w:rsidRPr="004075AB">
              <w:rPr>
                <w:rtl/>
              </w:rPr>
              <w:t xml:space="preserve"> שיעור המימון </w:t>
            </w:r>
            <w:r w:rsidRPr="004075AB">
              <w:rPr>
                <w:rFonts w:hint="cs"/>
                <w:rtl/>
              </w:rPr>
              <w:t xml:space="preserve">יתייחס התאגיד הבנקאי </w:t>
            </w:r>
            <w:r w:rsidRPr="004075AB">
              <w:rPr>
                <w:rtl/>
              </w:rPr>
              <w:t>לשווי הנכס הנרכש בלבד, גם אם משועבדים לצורך</w:t>
            </w:r>
            <w:r w:rsidRPr="004075AB">
              <w:rPr>
                <w:rFonts w:hint="cs"/>
                <w:rtl/>
              </w:rPr>
              <w:t xml:space="preserve"> אותה</w:t>
            </w:r>
            <w:r w:rsidRPr="004075AB">
              <w:rPr>
                <w:rtl/>
              </w:rPr>
              <w:t xml:space="preserve"> עסקה </w:t>
            </w:r>
            <w:r>
              <w:rPr>
                <w:rtl/>
              </w:rPr>
              <w:t>נכסים נוספים</w:t>
            </w:r>
            <w:r w:rsidRPr="004075AB">
              <w:rPr>
                <w:rtl/>
              </w:rPr>
              <w:t>;</w:t>
            </w:r>
          </w:p>
        </w:tc>
      </w:tr>
      <w:tr w:rsidR="00E028FA" w14:paraId="3FB0F632" w14:textId="77777777" w:rsidTr="00532A03">
        <w:trPr>
          <w:cantSplit/>
          <w:trHeight w:val="60"/>
        </w:trPr>
        <w:tc>
          <w:tcPr>
            <w:tcW w:w="1871" w:type="dxa"/>
          </w:tcPr>
          <w:p w14:paraId="5A44D4E3" w14:textId="77777777" w:rsidR="00E028FA" w:rsidRDefault="00E028FA" w:rsidP="00532A03">
            <w:pPr>
              <w:pStyle w:val="TableSideHeading"/>
              <w:rPr>
                <w:rtl/>
              </w:rPr>
            </w:pPr>
          </w:p>
        </w:tc>
        <w:tc>
          <w:tcPr>
            <w:tcW w:w="624" w:type="dxa"/>
          </w:tcPr>
          <w:p w14:paraId="1DA7E0E2" w14:textId="77777777" w:rsidR="00E028FA" w:rsidRDefault="00E028FA" w:rsidP="00532A03">
            <w:pPr>
              <w:pStyle w:val="TableText"/>
            </w:pPr>
          </w:p>
        </w:tc>
        <w:tc>
          <w:tcPr>
            <w:tcW w:w="7146" w:type="dxa"/>
            <w:gridSpan w:val="2"/>
          </w:tcPr>
          <w:p w14:paraId="4C6AFE77" w14:textId="77777777" w:rsidR="00E028FA" w:rsidRPr="004075AB" w:rsidRDefault="00E028FA" w:rsidP="00532A03">
            <w:pPr>
              <w:pStyle w:val="TableBlockOutdent"/>
              <w:rPr>
                <w:rtl/>
              </w:rPr>
            </w:pPr>
            <w:r w:rsidRPr="004075AB">
              <w:rPr>
                <w:rtl/>
              </w:rPr>
              <w:t>"דירה להשקעה"</w:t>
            </w:r>
            <w:r w:rsidRPr="004075AB">
              <w:rPr>
                <w:rFonts w:hint="cs"/>
                <w:rtl/>
              </w:rPr>
              <w:t xml:space="preserve"> </w:t>
            </w:r>
            <w:r w:rsidRPr="004075AB">
              <w:rPr>
                <w:rFonts w:hint="eastAsia"/>
                <w:rtl/>
              </w:rPr>
              <w:t>–</w:t>
            </w:r>
            <w:r>
              <w:rPr>
                <w:rFonts w:hint="cs"/>
                <w:rtl/>
              </w:rPr>
              <w:t xml:space="preserve"> </w:t>
            </w:r>
            <w:r w:rsidRPr="004075AB">
              <w:rPr>
                <w:rFonts w:hint="cs"/>
                <w:rtl/>
              </w:rPr>
              <w:t xml:space="preserve">דירת מגורים </w:t>
            </w:r>
            <w:r w:rsidRPr="004075AB">
              <w:rPr>
                <w:rtl/>
              </w:rPr>
              <w:t xml:space="preserve">שאינה דירה יחידה או דירה </w:t>
            </w:r>
            <w:r w:rsidRPr="004075AB">
              <w:rPr>
                <w:rFonts w:hint="cs"/>
                <w:rtl/>
              </w:rPr>
              <w:t>יחידה חלופית;</w:t>
            </w:r>
          </w:p>
        </w:tc>
      </w:tr>
      <w:tr w:rsidR="00E028FA" w14:paraId="111355EF" w14:textId="77777777" w:rsidTr="00532A03">
        <w:trPr>
          <w:cantSplit/>
          <w:trHeight w:val="60"/>
        </w:trPr>
        <w:tc>
          <w:tcPr>
            <w:tcW w:w="1871" w:type="dxa"/>
          </w:tcPr>
          <w:p w14:paraId="02E1A346" w14:textId="77777777" w:rsidR="00E028FA" w:rsidRDefault="00E028FA" w:rsidP="00532A03">
            <w:pPr>
              <w:pStyle w:val="TableSideHeading"/>
              <w:rPr>
                <w:rtl/>
              </w:rPr>
            </w:pPr>
          </w:p>
        </w:tc>
        <w:tc>
          <w:tcPr>
            <w:tcW w:w="624" w:type="dxa"/>
          </w:tcPr>
          <w:p w14:paraId="2541765E" w14:textId="77777777" w:rsidR="00E028FA" w:rsidRDefault="00E028FA" w:rsidP="00532A03">
            <w:pPr>
              <w:pStyle w:val="TableText"/>
            </w:pPr>
          </w:p>
        </w:tc>
        <w:tc>
          <w:tcPr>
            <w:tcW w:w="7146" w:type="dxa"/>
            <w:gridSpan w:val="2"/>
          </w:tcPr>
          <w:p w14:paraId="5B66C7FF" w14:textId="677360E7" w:rsidR="00E028FA" w:rsidRPr="004075AB" w:rsidRDefault="00E028FA" w:rsidP="00532A03">
            <w:pPr>
              <w:pStyle w:val="TableBlockOutdent"/>
              <w:rPr>
                <w:rtl/>
              </w:rPr>
            </w:pPr>
            <w:r w:rsidRPr="004075AB">
              <w:rPr>
                <w:rFonts w:hint="cs"/>
                <w:rtl/>
              </w:rPr>
              <w:t xml:space="preserve">"דירה חלופית" </w:t>
            </w:r>
            <w:r w:rsidRPr="004075AB">
              <w:rPr>
                <w:rFonts w:hint="eastAsia"/>
                <w:rtl/>
              </w:rPr>
              <w:t>–</w:t>
            </w:r>
            <w:r w:rsidRPr="004075AB">
              <w:rPr>
                <w:rFonts w:hint="cs"/>
                <w:rtl/>
              </w:rPr>
              <w:t xml:space="preserve"> כמשמעותה בסעיף 49</w:t>
            </w:r>
            <w:r>
              <w:rPr>
                <w:rFonts w:hint="cs"/>
                <w:rtl/>
              </w:rPr>
              <w:t>ה(א) לחוק מיסוי מקרקעין (שבח ור</w:t>
            </w:r>
            <w:r w:rsidRPr="004075AB">
              <w:rPr>
                <w:rFonts w:hint="cs"/>
                <w:rtl/>
              </w:rPr>
              <w:t>כ</w:t>
            </w:r>
            <w:r>
              <w:rPr>
                <w:rFonts w:hint="cs"/>
                <w:rtl/>
              </w:rPr>
              <w:t>י</w:t>
            </w:r>
            <w:r w:rsidRPr="004075AB">
              <w:rPr>
                <w:rFonts w:hint="cs"/>
                <w:rtl/>
              </w:rPr>
              <w:t>שה), התשכ''ג</w:t>
            </w:r>
            <w:r w:rsidRPr="004075AB">
              <w:rPr>
                <w:rFonts w:hint="eastAsia"/>
                <w:rtl/>
              </w:rPr>
              <w:t>–</w:t>
            </w:r>
            <w:r w:rsidRPr="004075AB">
              <w:rPr>
                <w:rFonts w:hint="cs"/>
                <w:rtl/>
              </w:rPr>
              <w:t>1963</w:t>
            </w:r>
            <w:r>
              <w:rPr>
                <w:rStyle w:val="a6"/>
                <w:rtl/>
              </w:rPr>
              <w:footnoteReference w:id="2"/>
            </w:r>
            <w:r w:rsidR="00813A0A">
              <w:rPr>
                <w:rFonts w:hint="cs"/>
                <w:rtl/>
              </w:rPr>
              <w:t xml:space="preserve"> (להלן </w:t>
            </w:r>
            <w:r w:rsidR="00813A0A">
              <w:rPr>
                <w:rFonts w:hint="eastAsia"/>
                <w:rtl/>
              </w:rPr>
              <w:t>–</w:t>
            </w:r>
            <w:r w:rsidR="00813A0A">
              <w:rPr>
                <w:rFonts w:hint="cs"/>
                <w:rtl/>
              </w:rPr>
              <w:t xml:space="preserve"> </w:t>
            </w:r>
            <w:r w:rsidRPr="004075AB">
              <w:rPr>
                <w:rFonts w:hint="cs"/>
                <w:rtl/>
              </w:rPr>
              <w:t>חוק מיסוי מקרקעין);</w:t>
            </w:r>
          </w:p>
        </w:tc>
      </w:tr>
      <w:tr w:rsidR="00E028FA" w14:paraId="0CB1D1FF" w14:textId="77777777" w:rsidTr="00532A03">
        <w:trPr>
          <w:cantSplit/>
          <w:trHeight w:val="60"/>
        </w:trPr>
        <w:tc>
          <w:tcPr>
            <w:tcW w:w="1871" w:type="dxa"/>
          </w:tcPr>
          <w:p w14:paraId="2DD47290" w14:textId="77777777" w:rsidR="00E028FA" w:rsidRDefault="00E028FA" w:rsidP="00532A03">
            <w:pPr>
              <w:pStyle w:val="TableSideHeading"/>
              <w:rPr>
                <w:rtl/>
              </w:rPr>
            </w:pPr>
          </w:p>
        </w:tc>
        <w:tc>
          <w:tcPr>
            <w:tcW w:w="624" w:type="dxa"/>
          </w:tcPr>
          <w:p w14:paraId="4A3BD5C1" w14:textId="77777777" w:rsidR="00E028FA" w:rsidRDefault="00E028FA" w:rsidP="00532A03">
            <w:pPr>
              <w:pStyle w:val="TableText"/>
            </w:pPr>
          </w:p>
        </w:tc>
        <w:tc>
          <w:tcPr>
            <w:tcW w:w="7146" w:type="dxa"/>
            <w:gridSpan w:val="2"/>
          </w:tcPr>
          <w:p w14:paraId="748425FA" w14:textId="77777777" w:rsidR="00E028FA" w:rsidRPr="004075AB" w:rsidRDefault="00E028FA" w:rsidP="00532A03">
            <w:pPr>
              <w:pStyle w:val="TableBlockOutdent"/>
              <w:rPr>
                <w:rtl/>
              </w:rPr>
            </w:pPr>
            <w:r w:rsidRPr="004075AB">
              <w:rPr>
                <w:rFonts w:hint="cs"/>
                <w:rtl/>
              </w:rPr>
              <w:t xml:space="preserve">"דירה יחידה" </w:t>
            </w:r>
            <w:r w:rsidRPr="004075AB">
              <w:rPr>
                <w:rFonts w:hint="eastAsia"/>
                <w:rtl/>
              </w:rPr>
              <w:t>–</w:t>
            </w:r>
            <w:r w:rsidRPr="004075AB">
              <w:rPr>
                <w:rFonts w:hint="cs"/>
                <w:rtl/>
              </w:rPr>
              <w:t xml:space="preserve"> כהגדרתה בסעיף 9(ג1ג)(4) לחוק מיסוי מקרקעין;</w:t>
            </w:r>
          </w:p>
        </w:tc>
      </w:tr>
      <w:tr w:rsidR="00E028FA" w14:paraId="0C421F51" w14:textId="77777777" w:rsidTr="00532A03">
        <w:trPr>
          <w:cantSplit/>
          <w:trHeight w:val="60"/>
        </w:trPr>
        <w:tc>
          <w:tcPr>
            <w:tcW w:w="1871" w:type="dxa"/>
          </w:tcPr>
          <w:p w14:paraId="1CD1E5F3" w14:textId="77777777" w:rsidR="00E028FA" w:rsidRDefault="00E028FA" w:rsidP="00532A03">
            <w:pPr>
              <w:pStyle w:val="TableSideHeading"/>
              <w:rPr>
                <w:rtl/>
              </w:rPr>
            </w:pPr>
          </w:p>
        </w:tc>
        <w:tc>
          <w:tcPr>
            <w:tcW w:w="624" w:type="dxa"/>
          </w:tcPr>
          <w:p w14:paraId="3B6F6B9A" w14:textId="77777777" w:rsidR="00E028FA" w:rsidRDefault="00E028FA" w:rsidP="00532A03">
            <w:pPr>
              <w:pStyle w:val="TableText"/>
            </w:pPr>
          </w:p>
        </w:tc>
        <w:tc>
          <w:tcPr>
            <w:tcW w:w="7146" w:type="dxa"/>
            <w:gridSpan w:val="2"/>
          </w:tcPr>
          <w:p w14:paraId="3C7FC1FF" w14:textId="77777777" w:rsidR="00E028FA" w:rsidRPr="004075AB" w:rsidRDefault="00E028FA" w:rsidP="00532A03">
            <w:pPr>
              <w:pStyle w:val="TableBlockOutdent"/>
              <w:rPr>
                <w:rtl/>
              </w:rPr>
            </w:pPr>
            <w:r w:rsidRPr="004075AB">
              <w:rPr>
                <w:rFonts w:hint="cs"/>
                <w:rtl/>
              </w:rPr>
              <w:t xml:space="preserve">"דירת מגורים" </w:t>
            </w:r>
            <w:r w:rsidRPr="004075AB">
              <w:rPr>
                <w:rFonts w:hint="eastAsia"/>
                <w:rtl/>
              </w:rPr>
              <w:t>–</w:t>
            </w:r>
            <w:r w:rsidRPr="004075AB">
              <w:rPr>
                <w:rFonts w:hint="cs"/>
                <w:rtl/>
              </w:rPr>
              <w:t xml:space="preserve"> כהגדרתה בחוק מיסוי מקרקעין;</w:t>
            </w:r>
          </w:p>
        </w:tc>
      </w:tr>
      <w:tr w:rsidR="00E028FA" w14:paraId="3A28848F" w14:textId="77777777" w:rsidTr="00532A03">
        <w:trPr>
          <w:cantSplit/>
          <w:trHeight w:val="60"/>
        </w:trPr>
        <w:tc>
          <w:tcPr>
            <w:tcW w:w="1871" w:type="dxa"/>
          </w:tcPr>
          <w:p w14:paraId="5FB82B6F" w14:textId="77777777" w:rsidR="00E028FA" w:rsidRDefault="00E028FA" w:rsidP="00532A03">
            <w:pPr>
              <w:pStyle w:val="TableSideHeading"/>
              <w:rPr>
                <w:rtl/>
              </w:rPr>
            </w:pPr>
          </w:p>
        </w:tc>
        <w:tc>
          <w:tcPr>
            <w:tcW w:w="624" w:type="dxa"/>
          </w:tcPr>
          <w:p w14:paraId="37672654" w14:textId="77777777" w:rsidR="00E028FA" w:rsidRDefault="00E028FA" w:rsidP="00532A03">
            <w:pPr>
              <w:pStyle w:val="TableText"/>
            </w:pPr>
          </w:p>
        </w:tc>
        <w:tc>
          <w:tcPr>
            <w:tcW w:w="7146" w:type="dxa"/>
            <w:gridSpan w:val="2"/>
          </w:tcPr>
          <w:p w14:paraId="0B3638AA" w14:textId="77777777" w:rsidR="00E028FA" w:rsidRPr="004075AB" w:rsidRDefault="00E028FA" w:rsidP="00532A03">
            <w:pPr>
              <w:pStyle w:val="TableBlockOutdent"/>
              <w:rPr>
                <w:rtl/>
              </w:rPr>
            </w:pPr>
            <w:r w:rsidRPr="004075AB">
              <w:rPr>
                <w:rFonts w:hint="cs"/>
                <w:rtl/>
              </w:rPr>
              <w:t xml:space="preserve">"תאגיד בנקאי" </w:t>
            </w:r>
            <w:r w:rsidRPr="004075AB">
              <w:rPr>
                <w:rFonts w:hint="eastAsia"/>
                <w:rtl/>
              </w:rPr>
              <w:t>–</w:t>
            </w:r>
            <w:r w:rsidRPr="004075AB">
              <w:rPr>
                <w:rFonts w:hint="cs"/>
                <w:rtl/>
              </w:rPr>
              <w:t xml:space="preserve"> </w:t>
            </w:r>
            <w:r w:rsidRPr="004075AB">
              <w:rPr>
                <w:rtl/>
              </w:rPr>
              <w:t>כהגדרת</w:t>
            </w:r>
            <w:r w:rsidRPr="004075AB">
              <w:rPr>
                <w:rFonts w:hint="cs"/>
                <w:rtl/>
              </w:rPr>
              <w:t>ו</w:t>
            </w:r>
            <w:r w:rsidRPr="004075AB">
              <w:rPr>
                <w:rtl/>
              </w:rPr>
              <w:t xml:space="preserve"> בחוק הבנקאות (רישוי)</w:t>
            </w:r>
            <w:r w:rsidRPr="004075AB">
              <w:rPr>
                <w:rFonts w:hint="cs"/>
                <w:rtl/>
              </w:rPr>
              <w:t>, התשמ''א</w:t>
            </w:r>
            <w:r w:rsidRPr="004075AB">
              <w:rPr>
                <w:rFonts w:hint="eastAsia"/>
                <w:rtl/>
              </w:rPr>
              <w:t>–</w:t>
            </w:r>
            <w:r w:rsidRPr="004075AB">
              <w:rPr>
                <w:rFonts w:hint="cs"/>
                <w:rtl/>
              </w:rPr>
              <w:t>1981</w:t>
            </w:r>
            <w:r>
              <w:rPr>
                <w:rStyle w:val="a6"/>
                <w:rtl/>
              </w:rPr>
              <w:footnoteReference w:id="3"/>
            </w:r>
            <w:r>
              <w:rPr>
                <w:rFonts w:hint="cs"/>
                <w:rtl/>
              </w:rPr>
              <w:t>".</w:t>
            </w:r>
          </w:p>
        </w:tc>
      </w:tr>
      <w:tr w:rsidR="00E028FA" w14:paraId="12DCA65D" w14:textId="77777777" w:rsidTr="00532A03">
        <w:trPr>
          <w:cantSplit/>
          <w:trHeight w:val="60"/>
        </w:trPr>
        <w:tc>
          <w:tcPr>
            <w:tcW w:w="1871" w:type="dxa"/>
          </w:tcPr>
          <w:p w14:paraId="3F7241A2" w14:textId="77777777" w:rsidR="00E028FA" w:rsidRDefault="00E028FA" w:rsidP="00532A03">
            <w:pPr>
              <w:pStyle w:val="TableSideHeading"/>
              <w:rPr>
                <w:rtl/>
              </w:rPr>
            </w:pPr>
            <w:r>
              <w:rPr>
                <w:rFonts w:hint="cs"/>
                <w:rtl/>
              </w:rPr>
              <w:t>תוקף</w:t>
            </w:r>
          </w:p>
        </w:tc>
        <w:tc>
          <w:tcPr>
            <w:tcW w:w="624" w:type="dxa"/>
          </w:tcPr>
          <w:p w14:paraId="1D4CBBF8" w14:textId="77777777" w:rsidR="00E028FA" w:rsidRDefault="00E028FA" w:rsidP="00532A03">
            <w:pPr>
              <w:pStyle w:val="TableText"/>
            </w:pPr>
            <w:r>
              <w:rPr>
                <w:rFonts w:hint="cs"/>
                <w:rtl/>
              </w:rPr>
              <w:t>2.</w:t>
            </w:r>
          </w:p>
        </w:tc>
        <w:tc>
          <w:tcPr>
            <w:tcW w:w="7146" w:type="dxa"/>
            <w:gridSpan w:val="2"/>
          </w:tcPr>
          <w:p w14:paraId="23D3E3F3" w14:textId="77777777" w:rsidR="00E028FA" w:rsidRPr="00CD45A1" w:rsidRDefault="00E028FA" w:rsidP="00532A03">
            <w:pPr>
              <w:pStyle w:val="TableBlock"/>
              <w:rPr>
                <w:rtl/>
              </w:rPr>
            </w:pPr>
            <w:r>
              <w:rPr>
                <w:rFonts w:hint="cs"/>
                <w:rtl/>
              </w:rPr>
              <w:t>חוק זה יעמוד בתוקפו שלוש שנים מיום פרסומו.</w:t>
            </w:r>
          </w:p>
        </w:tc>
      </w:tr>
    </w:tbl>
    <w:p w14:paraId="7F6961CA" w14:textId="77777777" w:rsidR="002D1EE3" w:rsidRDefault="002D1EE3" w:rsidP="002D1EE3">
      <w:pPr>
        <w:pStyle w:val="HeadDivreiHesber"/>
        <w:rPr>
          <w:rtl/>
        </w:rPr>
      </w:pPr>
      <w:r w:rsidRPr="0027450A">
        <w:rPr>
          <w:rFonts w:hint="cs"/>
          <w:rtl/>
        </w:rPr>
        <w:t>דברי הסבר</w:t>
      </w:r>
    </w:p>
    <w:p w14:paraId="5653A3F1" w14:textId="77777777" w:rsidR="00E028FA" w:rsidRPr="00813A0A" w:rsidRDefault="00E028FA" w:rsidP="00813A0A">
      <w:pPr>
        <w:pStyle w:val="Hesber"/>
        <w:rPr>
          <w:rtl/>
        </w:rPr>
      </w:pPr>
      <w:r w:rsidRPr="00813A0A">
        <w:rPr>
          <w:rtl/>
        </w:rPr>
        <w:t>על רקע עליית ריבית המשכנתאות שנובעת לטענת בנק ישראל כתוצאה ממחסור במקורות אשראי,</w:t>
      </w:r>
    </w:p>
    <w:p w14:paraId="7F6961CB" w14:textId="553A954A" w:rsidR="00E13C27" w:rsidRPr="00813A0A" w:rsidRDefault="00E028FA" w:rsidP="00813A0A">
      <w:pPr>
        <w:pStyle w:val="Hesber"/>
        <w:rPr>
          <w:rtl/>
        </w:rPr>
      </w:pPr>
      <w:r w:rsidRPr="00813A0A">
        <w:rPr>
          <w:rtl/>
        </w:rPr>
        <w:t>הצעת חוק זו נועדה לתעדף רוכשי דירה ראשונה על פני המשקיע</w:t>
      </w:r>
      <w:r w:rsidR="00813A0A" w:rsidRPr="00813A0A">
        <w:rPr>
          <w:rtl/>
        </w:rPr>
        <w:t xml:space="preserve">ים בקבלת המשכנתא, באופן שיסייע </w:t>
      </w:r>
      <w:r w:rsidR="00813A0A" w:rsidRPr="00813A0A">
        <w:rPr>
          <w:rFonts w:hint="cs"/>
          <w:rtl/>
        </w:rPr>
        <w:t>ב</w:t>
      </w:r>
      <w:r w:rsidRPr="00813A0A">
        <w:rPr>
          <w:rtl/>
        </w:rPr>
        <w:t>הוזלת ריביות המשכנתאות. כיום, שיעור המימון לרוכשי דירה ראשונה עומד על 75 אחוז משווי הנכס ועבור משקיעים עומד שיעור המימון על 50 אחוזים. מוצע לקבוע ששיעור המימון למשקיעים יעמוד על 25 אחוזים. הצעת החוק נקבעה כהוראת שעה ל-3 שנים.</w:t>
      </w:r>
    </w:p>
    <w:p w14:paraId="0FF24876" w14:textId="4739832A" w:rsidR="00E028FA" w:rsidRDefault="00E028FA" w:rsidP="00813A0A">
      <w:pPr>
        <w:pStyle w:val="Hesber"/>
        <w:rPr>
          <w:rtl/>
        </w:rPr>
      </w:pPr>
      <w:r w:rsidRPr="00813A0A">
        <w:rPr>
          <w:rFonts w:hint="cs"/>
          <w:rtl/>
        </w:rPr>
        <w:t xml:space="preserve">הצעת חוק זהה הונחה על שולחן הכנסת העשרים על ידי חבר הכנסת </w:t>
      </w:r>
      <w:r w:rsidR="002355D2" w:rsidRPr="00813A0A">
        <w:rPr>
          <w:rFonts w:hint="cs"/>
          <w:rtl/>
        </w:rPr>
        <w:t>אכרם חסון</w:t>
      </w:r>
      <w:r w:rsidRPr="00813A0A">
        <w:rPr>
          <w:rFonts w:hint="cs"/>
          <w:rtl/>
        </w:rPr>
        <w:t xml:space="preserve"> (</w:t>
      </w:r>
      <w:r w:rsidRPr="00813A0A">
        <w:rPr>
          <w:rtl/>
        </w:rPr>
        <w:t>פ/3639/20</w:t>
      </w:r>
      <w:r w:rsidRPr="00813A0A">
        <w:rPr>
          <w:rFonts w:hint="cs"/>
          <w:rtl/>
        </w:rPr>
        <w:t>).</w:t>
      </w:r>
    </w:p>
    <w:p w14:paraId="0B119D81" w14:textId="62CD870E" w:rsidR="00813A0A" w:rsidRDefault="00813A0A" w:rsidP="00813A0A">
      <w:pPr>
        <w:pStyle w:val="Hesber"/>
        <w:rPr>
          <w:rtl/>
        </w:rPr>
      </w:pPr>
    </w:p>
    <w:p w14:paraId="48DC8B21" w14:textId="77777777" w:rsidR="00813A0A" w:rsidRDefault="00813A0A" w:rsidP="00813A0A">
      <w:pPr>
        <w:pStyle w:val="Hesber"/>
        <w:rPr>
          <w:rtl/>
        </w:rPr>
      </w:pPr>
    </w:p>
    <w:p w14:paraId="7479F9CD" w14:textId="77777777" w:rsidR="00813A0A" w:rsidRDefault="00813A0A" w:rsidP="00813A0A">
      <w:pPr>
        <w:pStyle w:val="Hesber"/>
        <w:rPr>
          <w:rtl/>
        </w:rPr>
      </w:pPr>
    </w:p>
    <w:p w14:paraId="4734BAC7" w14:textId="77777777" w:rsidR="00813A0A" w:rsidRPr="00D73212" w:rsidRDefault="00813A0A" w:rsidP="00813A0A">
      <w:pPr>
        <w:pStyle w:val="Hesber"/>
        <w:rPr>
          <w:color w:val="auto"/>
          <w:rtl/>
          <w:lang w:eastAsia="en-US"/>
        </w:rPr>
      </w:pPr>
      <w:r w:rsidRPr="00D73212">
        <w:rPr>
          <w:color w:val="auto"/>
          <w:rtl/>
          <w:lang w:eastAsia="en-US"/>
        </w:rPr>
        <w:t>---------------------------------</w:t>
      </w:r>
    </w:p>
    <w:p w14:paraId="4CEE2FAC" w14:textId="77777777" w:rsidR="00813A0A" w:rsidRPr="00D73212" w:rsidRDefault="00813A0A" w:rsidP="00813A0A">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8A7A8FB" w14:textId="77777777" w:rsidR="00813A0A" w:rsidRPr="00D73212" w:rsidRDefault="00813A0A" w:rsidP="00813A0A">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30A9AAD" w14:textId="77777777" w:rsidR="00813A0A" w:rsidRPr="00317312" w:rsidRDefault="00813A0A" w:rsidP="00813A0A">
      <w:pPr>
        <w:pStyle w:val="Hesber"/>
      </w:pPr>
      <w:r>
        <w:rPr>
          <w:rFonts w:hint="cs"/>
          <w:color w:val="auto"/>
          <w:rtl/>
          <w:lang w:eastAsia="en-US"/>
        </w:rPr>
        <w:t>י"ז בשבט</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13.2</w:t>
      </w:r>
      <w:r w:rsidRPr="00D73212">
        <w:rPr>
          <w:color w:val="auto"/>
          <w:rtl/>
          <w:lang w:eastAsia="en-US"/>
        </w:rPr>
        <w:t>.</w:t>
      </w:r>
      <w:r>
        <w:rPr>
          <w:rFonts w:hint="cs"/>
          <w:color w:val="auto"/>
          <w:rtl/>
          <w:lang w:eastAsia="en-US"/>
        </w:rPr>
        <w:t>17</w:t>
      </w:r>
    </w:p>
    <w:p w14:paraId="30A5C6EF" w14:textId="77777777" w:rsidR="00813A0A" w:rsidRPr="00813A0A" w:rsidRDefault="00813A0A" w:rsidP="00813A0A">
      <w:pPr>
        <w:pStyle w:val="Hesber"/>
        <w:rPr>
          <w:rtl/>
        </w:rPr>
      </w:pPr>
    </w:p>
    <w:sectPr w:rsidR="00813A0A" w:rsidRPr="00813A0A"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13A0A">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35E70365" w14:textId="77777777" w:rsidR="00E028FA" w:rsidRDefault="00E028FA" w:rsidP="00E028FA">
      <w:pPr>
        <w:pStyle w:val="a4"/>
        <w:rPr>
          <w:rtl/>
        </w:rPr>
      </w:pPr>
      <w:r>
        <w:rPr>
          <w:rStyle w:val="a6"/>
        </w:rPr>
        <w:footnoteRef/>
      </w:r>
      <w:r>
        <w:rPr>
          <w:rtl/>
        </w:rPr>
        <w:t xml:space="preserve"> </w:t>
      </w:r>
      <w:r>
        <w:rPr>
          <w:rFonts w:hint="cs"/>
          <w:rtl/>
        </w:rPr>
        <w:t>ס''ח התשכ''ג, עמ' 156.</w:t>
      </w:r>
    </w:p>
  </w:footnote>
  <w:footnote w:id="3">
    <w:p w14:paraId="7A7A09B6" w14:textId="77777777" w:rsidR="00E028FA" w:rsidRDefault="00E028FA" w:rsidP="00E028FA">
      <w:pPr>
        <w:pStyle w:val="a4"/>
        <w:rPr>
          <w:rtl/>
        </w:rPr>
      </w:pPr>
      <w:r>
        <w:rPr>
          <w:rStyle w:val="a6"/>
        </w:rPr>
        <w:footnoteRef/>
      </w:r>
      <w:r>
        <w:rPr>
          <w:rtl/>
        </w:rPr>
        <w:t xml:space="preserve"> </w:t>
      </w:r>
      <w:r>
        <w:rPr>
          <w:rFonts w:hint="cs"/>
          <w:rtl/>
        </w:rPr>
        <w:t>ס''ח התשמ''א, עמ' 232.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55D2"/>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3A0A"/>
    <w:rsid w:val="00814D92"/>
    <w:rsid w:val="0083181D"/>
    <w:rsid w:val="00843EB2"/>
    <w:rsid w:val="00865572"/>
    <w:rsid w:val="00874BBC"/>
    <w:rsid w:val="00892135"/>
    <w:rsid w:val="0089501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28FA"/>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DB5C321-48D4-41E2-9886-2648A53E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E028FA"/>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09971507-9600-4D02-B1B9-FAE88C00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AC774D-C477-4E47-AE40-EFD546DE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1827</Characters>
  <Application>Microsoft Office Word</Application>
  <DocSecurity>0</DocSecurity>
  <Lines>96</Lines>
  <Paragraphs>77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cp:revision>
  <cp:lastPrinted>2017-02-09T13:30:00Z</cp:lastPrinted>
  <dcterms:created xsi:type="dcterms:W3CDTF">2015-04-20T09:58:00Z</dcterms:created>
  <dcterms:modified xsi:type="dcterms:W3CDTF">2017-02-09T13:30:00Z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2013134</vt:r8>
  </property>
</Properties>
</file>