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2013512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3CF339BA" w:rsidR="00E13C27" w:rsidRPr="00CF1AA2" w:rsidRDefault="008F6665" w:rsidP="00271E7A">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עודד פורר</w:t>
      </w:r>
      <w:r>
        <w:br/>
      </w:r>
      <w:r>
        <w:rPr>
          <w:rFonts w:hint="cs"/>
          <w:b/>
          <w:bCs/>
          <w:rtl/>
        </w:rPr>
        <w:t xml:space="preserve"> </w:t>
      </w:r>
      <w:r>
        <w:tab/>
      </w:r>
      <w:r>
        <w:tab/>
      </w:r>
      <w:r>
        <w:tab/>
      </w:r>
      <w:r>
        <w:tab/>
      </w:r>
      <w:r>
        <w:rPr>
          <w:rFonts w:hint="cs"/>
          <w:b/>
          <w:bCs/>
          <w:rtl/>
        </w:rPr>
        <w:t>יוליה מלינובסקי</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פ/3830/20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21633A">
      <w:pPr>
        <w:pStyle w:val="HeadHatzaotHok"/>
        <w:rPr>
          <w:rtl/>
        </w:rPr>
      </w:pPr>
      <w:bookmarkStart w:id="7" w:name="LGS_Subject"/>
      <w:r>
        <w:rPr>
          <w:rFonts w:hint="cs"/>
          <w:rtl/>
        </w:rPr>
        <w:t>הצעת חוק הדרכונים (תיקון – מתן דרכון לעולה), התשע"ז–2017</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17228D" w14:paraId="035EEF3D" w14:textId="77777777" w:rsidTr="002C3041">
        <w:trPr>
          <w:cantSplit/>
          <w:trHeight w:val="60"/>
        </w:trPr>
        <w:tc>
          <w:tcPr>
            <w:tcW w:w="1871" w:type="dxa"/>
          </w:tcPr>
          <w:p w14:paraId="3863FF98" w14:textId="1733E3DB" w:rsidR="0017228D" w:rsidRDefault="0017228D" w:rsidP="0017228D">
            <w:pPr>
              <w:pStyle w:val="TableSideHeading"/>
              <w:keepLines w:val="0"/>
            </w:pPr>
            <w:r>
              <w:rPr>
                <w:rFonts w:hint="cs"/>
                <w:rtl/>
              </w:rPr>
              <w:t>תיקון סעיף 6</w:t>
            </w:r>
          </w:p>
        </w:tc>
        <w:tc>
          <w:tcPr>
            <w:tcW w:w="624" w:type="dxa"/>
          </w:tcPr>
          <w:p w14:paraId="6F513EF6" w14:textId="727E5995" w:rsidR="0017228D" w:rsidRDefault="0017228D" w:rsidP="0017228D">
            <w:pPr>
              <w:pStyle w:val="TableText"/>
              <w:keepLines w:val="0"/>
            </w:pPr>
            <w:r>
              <w:rPr>
                <w:rFonts w:hint="cs"/>
                <w:rtl/>
              </w:rPr>
              <w:t>1.</w:t>
            </w:r>
          </w:p>
        </w:tc>
        <w:tc>
          <w:tcPr>
            <w:tcW w:w="7146" w:type="dxa"/>
          </w:tcPr>
          <w:p w14:paraId="1AE94DEB" w14:textId="65EEB333" w:rsidR="0017228D" w:rsidRPr="0017228D" w:rsidRDefault="0017228D" w:rsidP="00151C34">
            <w:pPr>
              <w:pStyle w:val="TableBlock"/>
              <w:rPr>
                <w:b/>
                <w:bCs/>
              </w:rPr>
            </w:pPr>
            <w:r w:rsidRPr="0017228D">
              <w:rPr>
                <w:rtl/>
              </w:rPr>
              <w:t>בחוק הדרכונים, התשי"ב–1952</w:t>
            </w:r>
            <w:r w:rsidR="00640CF8">
              <w:rPr>
                <w:rStyle w:val="a6"/>
                <w:b/>
                <w:bCs/>
                <w:rtl/>
              </w:rPr>
              <w:footnoteReference w:id="2"/>
            </w:r>
            <w:r w:rsidRPr="0017228D">
              <w:rPr>
                <w:rtl/>
              </w:rPr>
              <w:t>,  בסעיף</w:t>
            </w:r>
            <w:r w:rsidR="00640CF8">
              <w:rPr>
                <w:b/>
                <w:bCs/>
                <w:rtl/>
              </w:rPr>
              <w:t xml:space="preserve"> </w:t>
            </w:r>
            <w:r w:rsidR="00640CF8" w:rsidRPr="00151C34">
              <w:rPr>
                <w:rtl/>
              </w:rPr>
              <w:t>6, האמור בו יסומן "(א)" ואחריו</w:t>
            </w:r>
            <w:r w:rsidR="00640CF8" w:rsidRPr="00151C34">
              <w:rPr>
                <w:rFonts w:hint="cs"/>
                <w:rtl/>
              </w:rPr>
              <w:t xml:space="preserve"> י</w:t>
            </w:r>
            <w:r w:rsidRPr="00151C34">
              <w:rPr>
                <w:rtl/>
              </w:rPr>
              <w:t>בוא:</w:t>
            </w:r>
          </w:p>
        </w:tc>
      </w:tr>
      <w:tr w:rsidR="0017228D" w14:paraId="3D9B61D1" w14:textId="77777777" w:rsidTr="002C3041">
        <w:trPr>
          <w:cantSplit/>
          <w:trHeight w:val="60"/>
        </w:trPr>
        <w:tc>
          <w:tcPr>
            <w:tcW w:w="1871" w:type="dxa"/>
          </w:tcPr>
          <w:p w14:paraId="6C0CB9D8" w14:textId="77777777" w:rsidR="0017228D" w:rsidRDefault="0017228D" w:rsidP="0017228D">
            <w:pPr>
              <w:pStyle w:val="TableSideHeading"/>
              <w:keepLines w:val="0"/>
            </w:pPr>
          </w:p>
        </w:tc>
        <w:tc>
          <w:tcPr>
            <w:tcW w:w="624" w:type="dxa"/>
          </w:tcPr>
          <w:p w14:paraId="3F4286A2" w14:textId="77777777" w:rsidR="0017228D" w:rsidRDefault="0017228D" w:rsidP="0017228D">
            <w:pPr>
              <w:pStyle w:val="TableText"/>
              <w:keepLines w:val="0"/>
            </w:pPr>
          </w:p>
        </w:tc>
        <w:tc>
          <w:tcPr>
            <w:tcW w:w="7146" w:type="dxa"/>
          </w:tcPr>
          <w:p w14:paraId="7633D5BB" w14:textId="4DC9D5AF" w:rsidR="0017228D" w:rsidRPr="00C34DE2" w:rsidRDefault="0017228D" w:rsidP="0017228D">
            <w:pPr>
              <w:pStyle w:val="TableBlock"/>
              <w:keepLines w:val="0"/>
            </w:pPr>
            <w:r>
              <w:rPr>
                <w:rFonts w:hint="cs"/>
                <w:rtl/>
              </w:rPr>
              <w:t>"(ב)</w:t>
            </w:r>
            <w:r>
              <w:rPr>
                <w:rFonts w:hint="cs"/>
                <w:rtl/>
              </w:rPr>
              <w:tab/>
              <w:t>על אף האמור בסעיף קטן (א), לא יסרב השר ליתן דרכון למי שקיבל את אזרחותו לפי סעיף 2 לחוק האזרחות, התשי"ב</w:t>
            </w:r>
            <w:r>
              <w:rPr>
                <w:rFonts w:hint="cs"/>
                <w:sz w:val="26"/>
                <w:rtl/>
              </w:rPr>
              <w:t>–</w:t>
            </w:r>
            <w:r>
              <w:rPr>
                <w:rFonts w:hint="cs"/>
                <w:rtl/>
              </w:rPr>
              <w:t>1952</w:t>
            </w:r>
            <w:r>
              <w:rPr>
                <w:rStyle w:val="a6"/>
                <w:rtl/>
              </w:rPr>
              <w:footnoteReference w:id="3"/>
            </w:r>
            <w:r>
              <w:rPr>
                <w:rFonts w:hint="cs"/>
                <w:rtl/>
              </w:rPr>
              <w:t xml:space="preserve"> (בסעיף זה – עולה), בשל כך בלבד שטרם השתקע בישראל."</w:t>
            </w:r>
          </w:p>
        </w:tc>
      </w:tr>
    </w:tbl>
    <w:p w14:paraId="7F6961CA" w14:textId="77777777" w:rsidR="002D1EE3" w:rsidRDefault="002D1EE3" w:rsidP="002D1EE3">
      <w:pPr>
        <w:pStyle w:val="HeadDivreiHesber"/>
        <w:rPr>
          <w:rtl/>
        </w:rPr>
      </w:pPr>
      <w:r w:rsidRPr="0027450A">
        <w:rPr>
          <w:rFonts w:hint="cs"/>
          <w:rtl/>
        </w:rPr>
        <w:t>דברי הסבר</w:t>
      </w:r>
    </w:p>
    <w:p w14:paraId="364FCB6A" w14:textId="3F4D5E7A" w:rsidR="0017228D" w:rsidRPr="00F2430A" w:rsidRDefault="0017228D" w:rsidP="00271E7A">
      <w:pPr>
        <w:pStyle w:val="Hesber"/>
        <w:spacing w:line="240" w:lineRule="auto"/>
        <w:rPr>
          <w:rtl/>
        </w:rPr>
      </w:pPr>
      <w:r w:rsidRPr="00F2430A">
        <w:rPr>
          <w:rFonts w:hint="cs"/>
          <w:rtl/>
        </w:rPr>
        <w:t>במדינות רבות בעולם מקובל כי אזרח המדינה זכאי לקבל דרכון עם קבלת האזרחות של אותה מדינה. אמנם כך קורה גם במדינת ישראל, אך עבור אזרחים עולים חדשים זכאות זאת מוגבלת, ובדרך כלל בשנה הראשונה לעלייתם ארצה</w:t>
      </w:r>
      <w:r w:rsidR="00151C34">
        <w:rPr>
          <w:rFonts w:hint="cs"/>
          <w:rtl/>
        </w:rPr>
        <w:t xml:space="preserve">, עולים חדשים </w:t>
      </w:r>
      <w:r w:rsidR="00271E7A">
        <w:rPr>
          <w:rFonts w:hint="cs"/>
          <w:rtl/>
        </w:rPr>
        <w:t>מקבלים</w:t>
      </w:r>
      <w:r w:rsidRPr="00F2430A">
        <w:rPr>
          <w:rFonts w:hint="cs"/>
          <w:rtl/>
        </w:rPr>
        <w:t xml:space="preserve"> תעודת מעבר ולא דרכון, אשר מטילה מגבלות רבות על המשתמש בה. בעוד שבעל דרכון ישראלי יכול להיכנס לכל מדינה בעולם אשר עמה יש לישראל הסכמי אשרות, ללא אשרה, המחזיק בתעודת מעבר צריך להצטייד באשרה (ויזה) עם כניסתו לכל מדינ</w:t>
      </w:r>
      <w:r w:rsidR="00271E7A">
        <w:rPr>
          <w:rFonts w:hint="cs"/>
          <w:rtl/>
        </w:rPr>
        <w:t xml:space="preserve">ה בעולם, ללא תלות בהסכמי אשרות </w:t>
      </w:r>
      <w:r w:rsidR="00271E7A">
        <w:rPr>
          <w:rFonts w:hint="eastAsia"/>
          <w:rtl/>
        </w:rPr>
        <w:t>–</w:t>
      </w:r>
      <w:r w:rsidR="00271E7A">
        <w:rPr>
          <w:rFonts w:hint="cs"/>
          <w:rtl/>
        </w:rPr>
        <w:t xml:space="preserve"> שירות אשר עולה כסף וגוזל זמן</w:t>
      </w:r>
      <w:r w:rsidRPr="00F2430A">
        <w:rPr>
          <w:rFonts w:hint="cs"/>
          <w:rtl/>
        </w:rPr>
        <w:t>. כמו כן, ברוב המקרים, תוקף תעודת המעבר הוא לזמן קצר יותר מאשר דרכון, דבר אשר מחייב את מחזיקי תעודת המעבר להוציא שוב ושוב מסמך זה.</w:t>
      </w:r>
    </w:p>
    <w:p w14:paraId="2E3B6A6A" w14:textId="77777777" w:rsidR="0017228D" w:rsidRDefault="0017228D" w:rsidP="00271E7A">
      <w:pPr>
        <w:pStyle w:val="Hesber"/>
        <w:spacing w:line="240" w:lineRule="auto"/>
        <w:rPr>
          <w:rtl/>
        </w:rPr>
      </w:pPr>
      <w:r w:rsidRPr="00F2430A">
        <w:rPr>
          <w:rFonts w:hint="cs"/>
          <w:rtl/>
        </w:rPr>
        <w:t xml:space="preserve"> לאורך כל שנות קיומה מדינת ישראל, כמדינה קולטת עלייה, נאלצת להתמודד עם בעיות הנובעות מקליטת העולים. כך למשל, רבים המקרים בהם משפחות עולים מגיעות ארצה כמשפחה "מפוצלת", אשר חלק ממנה נותר במדינת המוצא. כחלק מתהל</w:t>
      </w:r>
      <w:r>
        <w:rPr>
          <w:rFonts w:hint="cs"/>
          <w:rtl/>
        </w:rPr>
        <w:t>י</w:t>
      </w:r>
      <w:r w:rsidRPr="00F2430A">
        <w:rPr>
          <w:rFonts w:hint="cs"/>
          <w:rtl/>
        </w:rPr>
        <w:t xml:space="preserve">ך הקליטה, על המדינה הקולטת לעזור לעולים המבקשים לשמור על קשר </w:t>
      </w:r>
      <w:r>
        <w:rPr>
          <w:rFonts w:hint="cs"/>
          <w:rtl/>
        </w:rPr>
        <w:t>עם בני משפחותיהם אשר נשארו בחוץ לארץ</w:t>
      </w:r>
      <w:r w:rsidRPr="00F2430A">
        <w:rPr>
          <w:rFonts w:hint="cs"/>
          <w:rtl/>
        </w:rPr>
        <w:t xml:space="preserve">. </w:t>
      </w:r>
    </w:p>
    <w:p w14:paraId="386E343B" w14:textId="1BBB6981" w:rsidR="0017228D" w:rsidRDefault="0017228D" w:rsidP="00271E7A">
      <w:pPr>
        <w:pStyle w:val="Hesber"/>
        <w:spacing w:line="240" w:lineRule="auto"/>
        <w:rPr>
          <w:rtl/>
        </w:rPr>
      </w:pPr>
      <w:r w:rsidRPr="00F2430A">
        <w:rPr>
          <w:rFonts w:hint="cs"/>
          <w:rtl/>
        </w:rPr>
        <w:t>מוצע כי שר הפנים לא יוכל שלא להיענות בחיוב לבקשת עולה לקבל דר</w:t>
      </w:r>
      <w:r>
        <w:rPr>
          <w:rFonts w:hint="cs"/>
          <w:rtl/>
        </w:rPr>
        <w:t>כון רק בשל כך שטרם השתקע בישראל</w:t>
      </w:r>
      <w:r w:rsidRPr="00F2430A">
        <w:rPr>
          <w:rFonts w:hint="cs"/>
          <w:rtl/>
        </w:rPr>
        <w:t>. מתן דרכון לעולים עם קבלת אזרחותם תקל באופן משמעותי על התנהלותם ביציאותיהם לחוץ לארץ מהסיבות שפורטו. יש לציין, כי ההסדר המוצע לא יפגע בהסדר הקיים לגבי מתן דרכון לספורטאים ביציא</w:t>
      </w:r>
      <w:r>
        <w:rPr>
          <w:rFonts w:hint="cs"/>
          <w:rtl/>
        </w:rPr>
        <w:t>ותיהם לייצג את מדינת ישראל בחוץ לארץ</w:t>
      </w:r>
      <w:r w:rsidRPr="00F2430A">
        <w:rPr>
          <w:rFonts w:hint="cs"/>
          <w:rtl/>
        </w:rPr>
        <w:t xml:space="preserve"> (אימונים ותחרויות ספורט). </w:t>
      </w:r>
    </w:p>
    <w:p w14:paraId="540BC5C2" w14:textId="36EC34B4" w:rsidR="00271E7A" w:rsidRDefault="00271E7A" w:rsidP="00271E7A">
      <w:pPr>
        <w:pStyle w:val="Hesber"/>
        <w:spacing w:line="240" w:lineRule="auto"/>
        <w:rPr>
          <w:rtl/>
        </w:rPr>
      </w:pPr>
    </w:p>
    <w:p w14:paraId="63D6F96F" w14:textId="77777777" w:rsidR="00271E7A" w:rsidRPr="00D73212" w:rsidRDefault="00271E7A" w:rsidP="00271E7A">
      <w:pPr>
        <w:pStyle w:val="Hesber"/>
        <w:spacing w:line="240" w:lineRule="auto"/>
        <w:rPr>
          <w:color w:val="auto"/>
          <w:rtl/>
          <w:lang w:eastAsia="en-US"/>
        </w:rPr>
      </w:pPr>
      <w:r w:rsidRPr="00D73212">
        <w:rPr>
          <w:color w:val="auto"/>
          <w:rtl/>
          <w:lang w:eastAsia="en-US"/>
        </w:rPr>
        <w:t>---------------------------------</w:t>
      </w:r>
    </w:p>
    <w:p w14:paraId="492C0372" w14:textId="77777777" w:rsidR="00271E7A" w:rsidRPr="00D73212" w:rsidRDefault="00271E7A" w:rsidP="00271E7A">
      <w:pPr>
        <w:pStyle w:val="Hesber"/>
        <w:spacing w:line="240" w:lineRule="auto"/>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388D0A60" w14:textId="77777777" w:rsidR="00271E7A" w:rsidRPr="00D73212" w:rsidRDefault="00271E7A" w:rsidP="00271E7A">
      <w:pPr>
        <w:pStyle w:val="Hesber"/>
        <w:spacing w:line="240" w:lineRule="auto"/>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15D3D62D" w14:textId="77777777" w:rsidR="00271E7A" w:rsidRPr="00317312" w:rsidRDefault="00271E7A" w:rsidP="00271E7A">
      <w:pPr>
        <w:pStyle w:val="Hesber"/>
        <w:spacing w:line="240" w:lineRule="auto"/>
      </w:pPr>
      <w:r>
        <w:rPr>
          <w:rFonts w:hint="cs"/>
          <w:color w:val="auto"/>
          <w:rtl/>
          <w:lang w:eastAsia="en-US"/>
        </w:rPr>
        <w:t>י' בשבט</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6.2</w:t>
      </w:r>
      <w:r w:rsidRPr="00D73212">
        <w:rPr>
          <w:color w:val="auto"/>
          <w:rtl/>
          <w:lang w:eastAsia="en-US"/>
        </w:rPr>
        <w:t>.</w:t>
      </w:r>
      <w:r>
        <w:rPr>
          <w:rFonts w:hint="cs"/>
          <w:color w:val="auto"/>
          <w:rtl/>
          <w:lang w:eastAsia="en-US"/>
        </w:rPr>
        <w:t>17</w:t>
      </w:r>
      <w:bookmarkStart w:id="8" w:name="_GoBack"/>
      <w:bookmarkEnd w:id="8"/>
    </w:p>
    <w:sectPr w:rsidR="00271E7A" w:rsidRPr="0031731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71E7A">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3007E26A" w14:textId="7213EDC2" w:rsidR="00640CF8" w:rsidRDefault="00640CF8">
      <w:pPr>
        <w:pStyle w:val="a4"/>
        <w:rPr>
          <w:rtl/>
        </w:rPr>
      </w:pPr>
      <w:r>
        <w:rPr>
          <w:rStyle w:val="a6"/>
        </w:rPr>
        <w:footnoteRef/>
      </w:r>
      <w:r>
        <w:rPr>
          <w:rtl/>
        </w:rPr>
        <w:t xml:space="preserve"> </w:t>
      </w:r>
      <w:r>
        <w:rPr>
          <w:rFonts w:hint="cs"/>
          <w:rtl/>
        </w:rPr>
        <w:t>ס"ח התשי"ב, עמ' 260.</w:t>
      </w:r>
    </w:p>
  </w:footnote>
  <w:footnote w:id="3">
    <w:p w14:paraId="67970F9F" w14:textId="77777777" w:rsidR="0017228D" w:rsidRDefault="0017228D" w:rsidP="0017228D">
      <w:pPr>
        <w:pStyle w:val="a4"/>
        <w:rPr>
          <w:rtl/>
        </w:rPr>
      </w:pPr>
      <w:r>
        <w:rPr>
          <w:rStyle w:val="a6"/>
        </w:rPr>
        <w:footnoteRef/>
      </w:r>
      <w:r>
        <w:rPr>
          <w:rFonts w:hint="cs"/>
          <w:rtl/>
        </w:rPr>
        <w:t xml:space="preserve"> ס"ח התשי"ב, עמ' 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1C34"/>
    <w:rsid w:val="00152609"/>
    <w:rsid w:val="00153E1B"/>
    <w:rsid w:val="0017228D"/>
    <w:rsid w:val="001A0623"/>
    <w:rsid w:val="001C23B0"/>
    <w:rsid w:val="001D7AAF"/>
    <w:rsid w:val="00203A7F"/>
    <w:rsid w:val="0021633A"/>
    <w:rsid w:val="002200A1"/>
    <w:rsid w:val="002362BF"/>
    <w:rsid w:val="00241B97"/>
    <w:rsid w:val="002425D1"/>
    <w:rsid w:val="00246756"/>
    <w:rsid w:val="00251E58"/>
    <w:rsid w:val="00254605"/>
    <w:rsid w:val="00266D86"/>
    <w:rsid w:val="00271E7A"/>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0CF8"/>
    <w:rsid w:val="00644940"/>
    <w:rsid w:val="006818A9"/>
    <w:rsid w:val="006A2D81"/>
    <w:rsid w:val="006C1D0D"/>
    <w:rsid w:val="0070601E"/>
    <w:rsid w:val="00712C72"/>
    <w:rsid w:val="00733728"/>
    <w:rsid w:val="00735FE9"/>
    <w:rsid w:val="00763CAA"/>
    <w:rsid w:val="00765F66"/>
    <w:rsid w:val="0078664F"/>
    <w:rsid w:val="007C3FA6"/>
    <w:rsid w:val="007D585A"/>
    <w:rsid w:val="007D5A12"/>
    <w:rsid w:val="007E59F9"/>
    <w:rsid w:val="007F4101"/>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703BE"/>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semiHidden/>
    <w:rsid w:val="0017228D"/>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58F1035-46B1-4CAF-A333-1C96FACFA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84BE8D-742A-454C-A4A5-3C024B3E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318</Words>
  <Characters>1595</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10</cp:revision>
  <cp:lastPrinted>2017-02-05T08:33:00Z</cp:lastPrinted>
  <dcterms:created xsi:type="dcterms:W3CDTF">2015-04-20T09:58:00Z</dcterms:created>
  <dcterms:modified xsi:type="dcterms:W3CDTF">2017-02-05T08:36:00Z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2013512</vt:r8>
  </property>
</Properties>
</file>