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2013133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מיקי לוי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5DA5BBEC" w:rsidR="00E13C27" w:rsidRDefault="00904591" w:rsidP="00E82FD7">
      <w:pPr>
        <w:pStyle w:val="David"/>
        <w:spacing w:before="0" w:line="240" w:lineRule="auto"/>
        <w:ind w:left="3544"/>
        <w:rPr>
          <w:rtl/>
        </w:rPr>
      </w:pPr>
      <w:r>
        <w:t xml:space="preserve">                                            </w:t>
      </w:r>
      <w:r w:rsidR="008F1308">
        <w:t xml:space="preserve"> </w:t>
      </w:r>
      <w:bookmarkStart w:id="6" w:name="Private_Number"/>
      <w:r>
        <w:rPr>
          <w:rFonts w:hint="cs"/>
          <w:rtl/>
        </w:rPr>
        <w:t>פ/3811/20</w:t>
      </w:r>
      <w:bookmarkEnd w:id="6"/>
    </w:p>
    <w:p w14:paraId="7F6961AD" w14:textId="77777777" w:rsidR="00E13C27" w:rsidRPr="00F67051" w:rsidRDefault="00A443CF" w:rsidP="0021633A">
      <w:pPr>
        <w:pStyle w:val="HeadHatzaotHok"/>
        <w:rPr>
          <w:rtl/>
        </w:rPr>
      </w:pPr>
      <w:bookmarkStart w:id="7" w:name="LGS_Subject"/>
      <w:r>
        <w:rPr>
          <w:rFonts w:hint="cs"/>
          <w:rtl/>
        </w:rPr>
        <w:t>הצעת חוק הכנסת (תיקון – שלילת שכר ותשלומים מחבר הכנסת החשוד בעבירה נגד ביטחון המדינה), התשע"ז–2017</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50"/>
      </w:tblGrid>
      <w:tr w:rsidR="000742A5" w14:paraId="2148E835" w14:textId="77777777" w:rsidTr="002607A7">
        <w:trPr>
          <w:cantSplit/>
          <w:trHeight w:val="60"/>
        </w:trPr>
        <w:tc>
          <w:tcPr>
            <w:tcW w:w="1871" w:type="dxa"/>
          </w:tcPr>
          <w:p w14:paraId="6AD9D4CA" w14:textId="77777777" w:rsidR="000742A5" w:rsidRDefault="000742A5" w:rsidP="002607A7">
            <w:pPr>
              <w:pStyle w:val="TableSideHeading"/>
              <w:rPr>
                <w:rtl/>
              </w:rPr>
            </w:pPr>
            <w:r>
              <w:rPr>
                <w:rFonts w:hint="cs"/>
                <w:rtl/>
              </w:rPr>
              <w:t>הוספת סעיף 58א</w:t>
            </w:r>
          </w:p>
        </w:tc>
        <w:tc>
          <w:tcPr>
            <w:tcW w:w="624" w:type="dxa"/>
          </w:tcPr>
          <w:p w14:paraId="41C54A7C" w14:textId="77777777" w:rsidR="000742A5" w:rsidRDefault="000742A5" w:rsidP="002607A7">
            <w:pPr>
              <w:pStyle w:val="TableText"/>
              <w:rPr>
                <w:rtl/>
              </w:rPr>
            </w:pPr>
            <w:r>
              <w:rPr>
                <w:rFonts w:hint="cs"/>
                <w:rtl/>
              </w:rPr>
              <w:t>1.</w:t>
            </w:r>
          </w:p>
        </w:tc>
        <w:tc>
          <w:tcPr>
            <w:tcW w:w="7146" w:type="dxa"/>
            <w:gridSpan w:val="3"/>
          </w:tcPr>
          <w:p w14:paraId="48C74FB0" w14:textId="77777777" w:rsidR="000742A5" w:rsidRDefault="000742A5" w:rsidP="002607A7">
            <w:pPr>
              <w:pStyle w:val="TableBlock"/>
              <w:rPr>
                <w:rtl/>
              </w:rPr>
            </w:pPr>
            <w:r>
              <w:rPr>
                <w:rFonts w:hint="cs"/>
                <w:rtl/>
              </w:rPr>
              <w:t>בחוק הכנסת, התשנ"ד</w:t>
            </w:r>
            <w:r>
              <w:rPr>
                <w:rFonts w:hint="eastAsia"/>
                <w:rtl/>
              </w:rPr>
              <w:t>–</w:t>
            </w:r>
            <w:r>
              <w:rPr>
                <w:rFonts w:hint="cs"/>
                <w:rtl/>
              </w:rPr>
              <w:t>1994</w:t>
            </w:r>
            <w:r>
              <w:rPr>
                <w:rStyle w:val="a6"/>
                <w:rtl/>
              </w:rPr>
              <w:footnoteReference w:id="2"/>
            </w:r>
            <w:r>
              <w:rPr>
                <w:rFonts w:hint="cs"/>
                <w:rtl/>
              </w:rPr>
              <w:t>, אחרי סעיף 58 יבוא:</w:t>
            </w:r>
          </w:p>
        </w:tc>
      </w:tr>
      <w:tr w:rsidR="000742A5" w14:paraId="6FC50E41" w14:textId="77777777" w:rsidTr="002607A7">
        <w:trPr>
          <w:cantSplit/>
          <w:trHeight w:val="60"/>
        </w:trPr>
        <w:tc>
          <w:tcPr>
            <w:tcW w:w="1871" w:type="dxa"/>
          </w:tcPr>
          <w:p w14:paraId="050107DC" w14:textId="77777777" w:rsidR="000742A5" w:rsidRDefault="000742A5" w:rsidP="002607A7">
            <w:pPr>
              <w:pStyle w:val="TableSideHeading"/>
            </w:pPr>
          </w:p>
        </w:tc>
        <w:tc>
          <w:tcPr>
            <w:tcW w:w="624" w:type="dxa"/>
          </w:tcPr>
          <w:p w14:paraId="139724CB" w14:textId="77777777" w:rsidR="000742A5" w:rsidRDefault="000742A5" w:rsidP="002607A7">
            <w:pPr>
              <w:pStyle w:val="TableText"/>
            </w:pPr>
          </w:p>
        </w:tc>
        <w:tc>
          <w:tcPr>
            <w:tcW w:w="1872" w:type="dxa"/>
          </w:tcPr>
          <w:p w14:paraId="286B371F" w14:textId="77777777" w:rsidR="000742A5" w:rsidRDefault="000742A5" w:rsidP="002607A7">
            <w:pPr>
              <w:pStyle w:val="TableInnerSideHeading"/>
            </w:pPr>
            <w:r>
              <w:rPr>
                <w:rFonts w:hint="cs"/>
                <w:rtl/>
              </w:rPr>
              <w:t>"חבר הכנסת החשוד בעבירה נגד ביטחון המדינה</w:t>
            </w:r>
          </w:p>
        </w:tc>
        <w:tc>
          <w:tcPr>
            <w:tcW w:w="624" w:type="dxa"/>
          </w:tcPr>
          <w:p w14:paraId="342E5CA8" w14:textId="77777777" w:rsidR="000742A5" w:rsidRPr="004B2F4C" w:rsidRDefault="000742A5" w:rsidP="002607A7">
            <w:pPr>
              <w:pStyle w:val="TableText"/>
            </w:pPr>
            <w:r>
              <w:rPr>
                <w:rFonts w:hint="cs"/>
                <w:rtl/>
              </w:rPr>
              <w:t>58א.</w:t>
            </w:r>
          </w:p>
        </w:tc>
        <w:tc>
          <w:tcPr>
            <w:tcW w:w="4650" w:type="dxa"/>
          </w:tcPr>
          <w:p w14:paraId="71A55BF1" w14:textId="42ABCEB8" w:rsidR="000742A5" w:rsidRDefault="000742A5" w:rsidP="005032CB">
            <w:pPr>
              <w:pStyle w:val="TableBlock"/>
            </w:pPr>
            <w:r>
              <w:rPr>
                <w:rFonts w:hint="cs"/>
                <w:rtl/>
              </w:rPr>
              <w:t>הודיע היועץ המשפטי לממשלה בכתב ליושב ראש הכנסת כי חבר הכנסת חשוד בעבירה לפי הוראות פרק ז' לחוק העונשין, התשל"ז</w:t>
            </w:r>
            <w:r>
              <w:rPr>
                <w:rFonts w:hint="eastAsia"/>
                <w:rtl/>
              </w:rPr>
              <w:t>–</w:t>
            </w:r>
            <w:r>
              <w:rPr>
                <w:rFonts w:hint="cs"/>
                <w:rtl/>
              </w:rPr>
              <w:t>1977</w:t>
            </w:r>
            <w:r>
              <w:rPr>
                <w:rStyle w:val="a6"/>
                <w:rtl/>
              </w:rPr>
              <w:footnoteReference w:id="3"/>
            </w:r>
            <w:r>
              <w:rPr>
                <w:rFonts w:hint="cs"/>
                <w:rtl/>
              </w:rPr>
              <w:t xml:space="preserve">, </w:t>
            </w:r>
            <w:r w:rsidR="005032CB">
              <w:rPr>
                <w:rFonts w:hint="cs"/>
                <w:rtl/>
              </w:rPr>
              <w:t>או לפי חוק המאבק בטרור, התשע"ו</w:t>
            </w:r>
            <w:r w:rsidR="005032CB">
              <w:rPr>
                <w:rFonts w:hint="eastAsia"/>
                <w:rtl/>
              </w:rPr>
              <w:t>–</w:t>
            </w:r>
            <w:r w:rsidR="005032CB">
              <w:rPr>
                <w:rFonts w:hint="cs"/>
                <w:rtl/>
              </w:rPr>
              <w:t>2016</w:t>
            </w:r>
            <w:r w:rsidR="005032CB">
              <w:rPr>
                <w:rStyle w:val="a6"/>
                <w:rtl/>
              </w:rPr>
              <w:footnoteReference w:id="4"/>
            </w:r>
            <w:r w:rsidR="005032CB">
              <w:rPr>
                <w:rFonts w:hint="cs"/>
                <w:rtl/>
              </w:rPr>
              <w:t xml:space="preserve">, </w:t>
            </w:r>
            <w:r>
              <w:rPr>
                <w:rFonts w:hint="cs"/>
                <w:rtl/>
              </w:rPr>
              <w:t xml:space="preserve">שדינה </w:t>
            </w:r>
            <w:r w:rsidR="005032CB">
              <w:rPr>
                <w:rFonts w:hint="cs"/>
                <w:rtl/>
              </w:rPr>
              <w:t>שבע</w:t>
            </w:r>
            <w:r>
              <w:rPr>
                <w:rFonts w:hint="cs"/>
                <w:rtl/>
              </w:rPr>
              <w:t xml:space="preserve"> שנות מאסר או יותר, לא ישולמו לחבר הכנסת תשלומים לפי פרק זה, עד לאחר מתן פסק דין בעניינו או עד שהודיע היועץ המשפטי לממשלה בכתב ליושב ראש הכנסת כי חבר הכנסת אינו חשוד יותר כאמור או עד שחלפה שנה מיום הודעת היועץ המשפטי לממשלה על החשדות."</w:t>
            </w:r>
          </w:p>
        </w:tc>
      </w:tr>
    </w:tbl>
    <w:p w14:paraId="7F6961CA" w14:textId="77777777" w:rsidR="002D1EE3" w:rsidRDefault="002D1EE3" w:rsidP="002D1EE3">
      <w:pPr>
        <w:pStyle w:val="HeadDivreiHesber"/>
        <w:rPr>
          <w:rtl/>
        </w:rPr>
      </w:pPr>
      <w:r w:rsidRPr="0027450A">
        <w:rPr>
          <w:rFonts w:hint="cs"/>
          <w:rtl/>
        </w:rPr>
        <w:t>דברי הסבר</w:t>
      </w:r>
    </w:p>
    <w:p w14:paraId="48DBE8DD" w14:textId="0B1AA7C9" w:rsidR="000742A5" w:rsidRDefault="000742A5" w:rsidP="00E41478">
      <w:pPr>
        <w:pStyle w:val="Hesber"/>
        <w:rPr>
          <w:rtl/>
        </w:rPr>
      </w:pPr>
      <w:r>
        <w:rPr>
          <w:rtl/>
        </w:rPr>
        <w:t xml:space="preserve">חוק הכנסת, התשנ"ד–1994, קובע בפרק ט' כי חבר הכנסת יקבל מהכנסת שכר ותשלומים נוספים בעת כהונתו. מטרת הצעת החוק </w:t>
      </w:r>
      <w:r w:rsidR="00FE1D34">
        <w:rPr>
          <w:rFonts w:hint="cs"/>
          <w:rtl/>
        </w:rPr>
        <w:t xml:space="preserve">היא </w:t>
      </w:r>
      <w:r>
        <w:rPr>
          <w:rtl/>
        </w:rPr>
        <w:t>להבטיח כי חבר הכנסת שאינו נאמן למדינה וחשוד בעבירה חמורה נגד ביטחון המדינה, לא יהיה זכאי להטבות מקופת המדינה. לפיכך</w:t>
      </w:r>
      <w:r w:rsidR="00462466">
        <w:rPr>
          <w:rFonts w:hint="cs"/>
          <w:rtl/>
        </w:rPr>
        <w:t>,</w:t>
      </w:r>
      <w:r>
        <w:rPr>
          <w:rtl/>
        </w:rPr>
        <w:t xml:space="preserve"> מוצע לבטל את זכויותיו לשכר ותשלומים אחרים של חבר הכנסת שהיועץ המשפטי לממשלה הודיע כי הוא חשוד בביצוע עבירה לפי הוראות פרק ז' לחוק העונשין, התשל"ז–1977, שכותרתו היא "ביטחון המדינה, יחסי חוץ וסודות רשמיים", </w:t>
      </w:r>
      <w:r w:rsidR="00E41478">
        <w:rPr>
          <w:rFonts w:hint="cs"/>
          <w:rtl/>
        </w:rPr>
        <w:t>או לפי חוק המאבק בטרור, התשע"ו</w:t>
      </w:r>
      <w:r w:rsidR="00E41478">
        <w:rPr>
          <w:rFonts w:hint="eastAsia"/>
          <w:rtl/>
        </w:rPr>
        <w:t>–</w:t>
      </w:r>
      <w:r w:rsidR="00E41478">
        <w:rPr>
          <w:rFonts w:hint="cs"/>
          <w:rtl/>
        </w:rPr>
        <w:t xml:space="preserve">2016, </w:t>
      </w:r>
      <w:r>
        <w:rPr>
          <w:rtl/>
        </w:rPr>
        <w:t xml:space="preserve">אם העונש הקבוע לה הוא </w:t>
      </w:r>
      <w:r w:rsidR="00E41478">
        <w:rPr>
          <w:rFonts w:hint="cs"/>
          <w:rtl/>
        </w:rPr>
        <w:t>שבע</w:t>
      </w:r>
      <w:r>
        <w:rPr>
          <w:rtl/>
        </w:rPr>
        <w:t xml:space="preserve"> שנות מאסר לפחות.</w:t>
      </w:r>
    </w:p>
    <w:p w14:paraId="71E4F184" w14:textId="5FD73C28" w:rsidR="000742A5" w:rsidRDefault="000742A5" w:rsidP="00E374A1">
      <w:pPr>
        <w:pStyle w:val="Hesber"/>
        <w:rPr>
          <w:rtl/>
        </w:rPr>
      </w:pPr>
      <w:r>
        <w:rPr>
          <w:rFonts w:hint="cs"/>
          <w:rtl/>
        </w:rPr>
        <w:t xml:space="preserve">במהלך </w:t>
      </w:r>
      <w:r w:rsidR="00E31545">
        <w:rPr>
          <w:rFonts w:hint="cs"/>
          <w:rtl/>
        </w:rPr>
        <w:t>חודש דצמבר 2016 נעצר חבר כנסת מכהן בחשד לעבירות ביטחון חמורות</w:t>
      </w:r>
      <w:r w:rsidR="00E374A1">
        <w:rPr>
          <w:rFonts w:hint="cs"/>
          <w:rtl/>
        </w:rPr>
        <w:t>,</w:t>
      </w:r>
      <w:r w:rsidR="00E31545">
        <w:rPr>
          <w:rFonts w:hint="cs"/>
          <w:rtl/>
        </w:rPr>
        <w:t xml:space="preserve"> ועל אף שהיועץ </w:t>
      </w:r>
      <w:r w:rsidR="00E31545">
        <w:rPr>
          <w:rFonts w:hint="cs"/>
          <w:rtl/>
        </w:rPr>
        <w:lastRenderedPageBreak/>
        <w:t xml:space="preserve">המשפטי לממשלה הודיע כי </w:t>
      </w:r>
      <w:r w:rsidR="00E374A1">
        <w:rPr>
          <w:rFonts w:hint="cs"/>
          <w:rtl/>
        </w:rPr>
        <w:t>הוא</w:t>
      </w:r>
      <w:r w:rsidR="00E31545">
        <w:rPr>
          <w:rFonts w:hint="cs"/>
          <w:rtl/>
        </w:rPr>
        <w:t xml:space="preserve"> חשוד</w:t>
      </w:r>
      <w:r w:rsidR="00462466">
        <w:rPr>
          <w:rFonts w:hint="cs"/>
          <w:rtl/>
        </w:rPr>
        <w:t>,</w:t>
      </w:r>
      <w:r w:rsidR="00E31545">
        <w:rPr>
          <w:rFonts w:hint="cs"/>
          <w:rtl/>
        </w:rPr>
        <w:t xml:space="preserve"> </w:t>
      </w:r>
      <w:r w:rsidR="00E374A1">
        <w:rPr>
          <w:rFonts w:hint="cs"/>
          <w:rtl/>
        </w:rPr>
        <w:t>בין היתר</w:t>
      </w:r>
      <w:r w:rsidR="00462466">
        <w:rPr>
          <w:rFonts w:hint="cs"/>
          <w:rtl/>
        </w:rPr>
        <w:t>,</w:t>
      </w:r>
      <w:r w:rsidR="00E374A1">
        <w:rPr>
          <w:rFonts w:hint="cs"/>
          <w:rtl/>
        </w:rPr>
        <w:t xml:space="preserve"> </w:t>
      </w:r>
      <w:r w:rsidR="00E31545">
        <w:rPr>
          <w:rFonts w:hint="cs"/>
          <w:rtl/>
        </w:rPr>
        <w:t xml:space="preserve">בביצוע עבירה לפי </w:t>
      </w:r>
      <w:r w:rsidR="005032CB">
        <w:rPr>
          <w:rFonts w:hint="cs"/>
          <w:rtl/>
        </w:rPr>
        <w:t>חוק המאבק בטרור, התשע"ו</w:t>
      </w:r>
      <w:r w:rsidR="00E41478">
        <w:rPr>
          <w:rFonts w:hint="eastAsia"/>
          <w:rtl/>
        </w:rPr>
        <w:t>–</w:t>
      </w:r>
      <w:r w:rsidR="005032CB">
        <w:rPr>
          <w:rFonts w:hint="cs"/>
          <w:rtl/>
        </w:rPr>
        <w:t>2016</w:t>
      </w:r>
      <w:r w:rsidR="005B23CF">
        <w:rPr>
          <w:rFonts w:hint="cs"/>
          <w:rtl/>
        </w:rPr>
        <w:t xml:space="preserve">, </w:t>
      </w:r>
      <w:r w:rsidR="005032CB">
        <w:rPr>
          <w:rFonts w:hint="cs"/>
          <w:rtl/>
        </w:rPr>
        <w:t xml:space="preserve">הוא </w:t>
      </w:r>
      <w:r w:rsidR="005B23CF">
        <w:rPr>
          <w:rFonts w:hint="cs"/>
          <w:rtl/>
        </w:rPr>
        <w:t xml:space="preserve">המשיך ליהנות </w:t>
      </w:r>
      <w:r w:rsidR="005032CB">
        <w:rPr>
          <w:rFonts w:hint="cs"/>
          <w:rtl/>
        </w:rPr>
        <w:t>מ</w:t>
      </w:r>
      <w:r w:rsidR="005B23CF">
        <w:rPr>
          <w:rFonts w:hint="cs"/>
          <w:rtl/>
        </w:rPr>
        <w:t>שכר ותשלומים נוספים</w:t>
      </w:r>
      <w:r w:rsidR="005032CB">
        <w:rPr>
          <w:rFonts w:hint="cs"/>
          <w:rtl/>
        </w:rPr>
        <w:t>,</w:t>
      </w:r>
      <w:r w:rsidR="005B23CF">
        <w:rPr>
          <w:rFonts w:hint="cs"/>
          <w:rtl/>
        </w:rPr>
        <w:t xml:space="preserve"> </w:t>
      </w:r>
      <w:r w:rsidR="005032CB">
        <w:rPr>
          <w:rFonts w:hint="cs"/>
          <w:rtl/>
        </w:rPr>
        <w:t>ומוצע</w:t>
      </w:r>
      <w:r w:rsidR="005B23CF">
        <w:rPr>
          <w:rFonts w:hint="cs"/>
          <w:rtl/>
        </w:rPr>
        <w:t xml:space="preserve"> לפעול לשנות מצב זה.</w:t>
      </w:r>
    </w:p>
    <w:p w14:paraId="7F6961CB" w14:textId="4C47FE76" w:rsidR="00E13C27" w:rsidRDefault="000742A5" w:rsidP="005B1A48">
      <w:pPr>
        <w:pStyle w:val="Hesber"/>
        <w:rPr>
          <w:rtl/>
        </w:rPr>
      </w:pPr>
      <w:r>
        <w:rPr>
          <w:rtl/>
        </w:rPr>
        <w:t>הצעת חוק דומה בעיקרה הונחה על שולחן הכנסת השבע-עשרה על ידי חבר הכנסת דוד רותם וקבוצת חברי הכנסת (פ/2554/17)</w:t>
      </w:r>
      <w:r w:rsidR="005032CB">
        <w:rPr>
          <w:rFonts w:hint="cs"/>
          <w:rtl/>
        </w:rPr>
        <w:t xml:space="preserve"> ו</w:t>
      </w:r>
      <w:r>
        <w:rPr>
          <w:rFonts w:hint="cs"/>
          <w:rtl/>
        </w:rPr>
        <w:t>על שולחן הכנסת העשרים על ידי ח</w:t>
      </w:r>
      <w:r w:rsidR="005B1A48">
        <w:rPr>
          <w:rFonts w:hint="cs"/>
          <w:rtl/>
        </w:rPr>
        <w:t>בר הכנסת</w:t>
      </w:r>
      <w:r>
        <w:rPr>
          <w:rFonts w:hint="cs"/>
          <w:rtl/>
        </w:rPr>
        <w:t xml:space="preserve"> אלי כהן (</w:t>
      </w:r>
      <w:r w:rsidRPr="000742A5">
        <w:rPr>
          <w:rtl/>
        </w:rPr>
        <w:t>פ/3650/20</w:t>
      </w:r>
      <w:r>
        <w:rPr>
          <w:rFonts w:hint="cs"/>
          <w:rtl/>
        </w:rPr>
        <w:t>).</w:t>
      </w:r>
    </w:p>
    <w:p w14:paraId="2088A2BF" w14:textId="238D863B" w:rsidR="00053884" w:rsidRDefault="00053884" w:rsidP="005B1A48">
      <w:pPr>
        <w:pStyle w:val="Hesber"/>
        <w:rPr>
          <w:rtl/>
        </w:rPr>
      </w:pPr>
    </w:p>
    <w:p w14:paraId="21CF3BC9" w14:textId="77777777" w:rsidR="00053884" w:rsidRPr="00D73212" w:rsidRDefault="00053884" w:rsidP="00053884">
      <w:pPr>
        <w:pStyle w:val="Hesber"/>
        <w:rPr>
          <w:color w:val="auto"/>
          <w:rtl/>
          <w:lang w:eastAsia="en-US"/>
        </w:rPr>
      </w:pPr>
      <w:r w:rsidRPr="00D73212">
        <w:rPr>
          <w:color w:val="auto"/>
          <w:rtl/>
          <w:lang w:eastAsia="en-US"/>
        </w:rPr>
        <w:t>---------------------------------</w:t>
      </w:r>
      <w:bookmarkStart w:id="8" w:name="_GoBack"/>
      <w:bookmarkEnd w:id="8"/>
    </w:p>
    <w:p w14:paraId="2635508F" w14:textId="77777777" w:rsidR="00053884" w:rsidRPr="00D73212" w:rsidRDefault="00053884" w:rsidP="00053884">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6603CD0" w14:textId="77777777" w:rsidR="00053884" w:rsidRPr="00D73212" w:rsidRDefault="00053884" w:rsidP="00053884">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509E09D" w14:textId="77777777" w:rsidR="00053884" w:rsidRPr="00317312" w:rsidRDefault="00053884" w:rsidP="00053884">
      <w:pPr>
        <w:pStyle w:val="Hesber"/>
      </w:pPr>
      <w:r>
        <w:rPr>
          <w:rFonts w:hint="cs"/>
          <w:color w:val="auto"/>
          <w:rtl/>
          <w:lang w:eastAsia="en-US"/>
        </w:rPr>
        <w:t>י' בשבט</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6.2</w:t>
      </w:r>
      <w:r w:rsidRPr="00D73212">
        <w:rPr>
          <w:color w:val="auto"/>
          <w:rtl/>
          <w:lang w:eastAsia="en-US"/>
        </w:rPr>
        <w:t>.</w:t>
      </w:r>
      <w:r>
        <w:rPr>
          <w:rFonts w:hint="cs"/>
          <w:color w:val="auto"/>
          <w:rtl/>
          <w:lang w:eastAsia="en-US"/>
        </w:rPr>
        <w:t>17</w:t>
      </w:r>
    </w:p>
    <w:p w14:paraId="36FAB3D6" w14:textId="77777777" w:rsidR="00053884" w:rsidRPr="00B15BBC" w:rsidRDefault="00053884" w:rsidP="00053884">
      <w:pPr>
        <w:spacing w:before="0" w:line="360" w:lineRule="auto"/>
        <w:ind w:left="340" w:firstLine="0"/>
        <w:rPr>
          <w:rFonts w:ascii="Arial" w:eastAsia="Arial Unicode MS" w:hAnsi="Arial" w:cs="David" w:hint="cs"/>
          <w:snapToGrid w:val="0"/>
          <w:spacing w:val="0"/>
          <w:sz w:val="20"/>
          <w:szCs w:val="26"/>
          <w:rtl/>
        </w:rPr>
      </w:pPr>
    </w:p>
    <w:p w14:paraId="08F113B4" w14:textId="77777777" w:rsidR="00053884" w:rsidRDefault="00053884" w:rsidP="005B1A48">
      <w:pPr>
        <w:pStyle w:val="Hesber"/>
        <w:rPr>
          <w:rtl/>
        </w:rPr>
      </w:pPr>
    </w:p>
    <w:sectPr w:rsidR="0005388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82FD7">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75C0CE6B" w14:textId="77777777" w:rsidR="000742A5" w:rsidRDefault="000742A5" w:rsidP="000742A5">
      <w:pPr>
        <w:pStyle w:val="a4"/>
        <w:rPr>
          <w:rtl/>
        </w:rPr>
      </w:pPr>
      <w:r>
        <w:rPr>
          <w:rStyle w:val="a6"/>
        </w:rPr>
        <w:footnoteRef/>
      </w:r>
      <w:r>
        <w:rPr>
          <w:rtl/>
        </w:rPr>
        <w:t xml:space="preserve"> </w:t>
      </w:r>
      <w:r>
        <w:rPr>
          <w:rFonts w:hint="cs"/>
          <w:rtl/>
        </w:rPr>
        <w:t>ס"ח התשנ"ד, עמ' 140.</w:t>
      </w:r>
    </w:p>
  </w:footnote>
  <w:footnote w:id="3">
    <w:p w14:paraId="00BBD3FD" w14:textId="77777777" w:rsidR="000742A5" w:rsidRDefault="000742A5" w:rsidP="000742A5">
      <w:pPr>
        <w:pStyle w:val="a4"/>
        <w:rPr>
          <w:rtl/>
        </w:rPr>
      </w:pPr>
      <w:r>
        <w:rPr>
          <w:rStyle w:val="a6"/>
        </w:rPr>
        <w:footnoteRef/>
      </w:r>
      <w:r>
        <w:rPr>
          <w:rtl/>
        </w:rPr>
        <w:t xml:space="preserve"> </w:t>
      </w:r>
      <w:r>
        <w:rPr>
          <w:rFonts w:hint="cs"/>
          <w:rtl/>
        </w:rPr>
        <w:t>ס"ח התשל"ז, עמ' 226.</w:t>
      </w:r>
    </w:p>
  </w:footnote>
  <w:footnote w:id="4">
    <w:p w14:paraId="0923532C" w14:textId="1953809F" w:rsidR="005032CB" w:rsidRDefault="005032CB" w:rsidP="005032CB">
      <w:pPr>
        <w:pStyle w:val="a4"/>
      </w:pPr>
      <w:r>
        <w:rPr>
          <w:rStyle w:val="a6"/>
        </w:rPr>
        <w:footnoteRef/>
      </w:r>
      <w:r>
        <w:rPr>
          <w:rtl/>
        </w:rPr>
        <w:t xml:space="preserve"> </w:t>
      </w:r>
      <w:r w:rsidR="00F541B0">
        <w:rPr>
          <w:rFonts w:hint="cs"/>
          <w:rtl/>
        </w:rPr>
        <w:t>ס"ח התשע"ו, עמ' 898.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3884"/>
    <w:rsid w:val="00063A3E"/>
    <w:rsid w:val="00072CAC"/>
    <w:rsid w:val="000742A5"/>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3E49"/>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2466"/>
    <w:rsid w:val="004A06DC"/>
    <w:rsid w:val="004B24ED"/>
    <w:rsid w:val="004B6625"/>
    <w:rsid w:val="004D2D82"/>
    <w:rsid w:val="004D3876"/>
    <w:rsid w:val="004E4552"/>
    <w:rsid w:val="004E6CDF"/>
    <w:rsid w:val="005032CB"/>
    <w:rsid w:val="00553C9D"/>
    <w:rsid w:val="00562A66"/>
    <w:rsid w:val="005B064E"/>
    <w:rsid w:val="005B1A48"/>
    <w:rsid w:val="005B23CF"/>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3A9E"/>
    <w:rsid w:val="00814D92"/>
    <w:rsid w:val="0083181D"/>
    <w:rsid w:val="00831835"/>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1545"/>
    <w:rsid w:val="00E33BBD"/>
    <w:rsid w:val="00E374A1"/>
    <w:rsid w:val="00E374F2"/>
    <w:rsid w:val="00E41478"/>
    <w:rsid w:val="00E45103"/>
    <w:rsid w:val="00E55A60"/>
    <w:rsid w:val="00E62778"/>
    <w:rsid w:val="00E63D38"/>
    <w:rsid w:val="00E665B9"/>
    <w:rsid w:val="00E82FD7"/>
    <w:rsid w:val="00EA01E6"/>
    <w:rsid w:val="00EA3DE8"/>
    <w:rsid w:val="00EA478C"/>
    <w:rsid w:val="00EA758F"/>
    <w:rsid w:val="00ED4A6F"/>
    <w:rsid w:val="00EF3A3A"/>
    <w:rsid w:val="00F541B0"/>
    <w:rsid w:val="00F628D6"/>
    <w:rsid w:val="00F67051"/>
    <w:rsid w:val="00F86A1E"/>
    <w:rsid w:val="00FA5E88"/>
    <w:rsid w:val="00FE1D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8A9DDEE-377D-40A4-A071-775DB1F9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742A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15A7-8481-4767-83A5-A3293551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56FF5565-C770-4BDB-ACCA-EACD8B06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307</Words>
  <Characters>1540</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14</cp:revision>
  <cp:lastPrinted>2017-01-31T14:58:00Z</cp:lastPrinted>
  <dcterms:created xsi:type="dcterms:W3CDTF">2015-04-20T09:58:00Z</dcterms:created>
  <dcterms:modified xsi:type="dcterms:W3CDTF">2017-02-02T08:10:00Z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2013133</vt:r8>
  </property>
</Properties>
</file>