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00131B" w:rsidRDefault="004033D8" w:rsidP="00A443CF">
      <w:pPr>
        <w:pStyle w:val="HeadHatzaotHok"/>
        <w:jc w:val="right"/>
        <w:rPr>
          <w:b w:val="0"/>
          <w:bCs w:val="0"/>
          <w:szCs w:val="20"/>
        </w:rPr>
      </w:pPr>
      <w:r w:rsidRPr="0000131B">
        <w:rPr>
          <w:rFonts w:hint="cs"/>
          <w:b w:val="0"/>
          <w:bCs w:val="0"/>
          <w:szCs w:val="20"/>
          <w:rtl/>
        </w:rPr>
        <w:t xml:space="preserve">מספר פנימי: </w:t>
      </w:r>
      <w:bookmarkStart w:id="0" w:name="LGS_Internal_ID"/>
      <w:r>
        <w:rPr>
          <w:rFonts w:hint="cs"/>
          <w:b w:val="0"/>
          <w:bCs w:val="0"/>
          <w:szCs w:val="20"/>
          <w:rtl/>
        </w:rPr>
        <w:t>2007196</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w:t>
      </w:r>
      <w:bookmarkEnd w:id="1"/>
    </w:p>
    <w:p w14:paraId="7F6961A3" w14:textId="77777777" w:rsidR="00E13C27" w:rsidRPr="00F67051" w:rsidRDefault="00E13C27" w:rsidP="00E13C27">
      <w:pPr>
        <w:rPr>
          <w:rFonts w:cs="David"/>
          <w:b/>
          <w:bCs/>
          <w:sz w:val="26"/>
          <w:szCs w:val="26"/>
          <w:rtl/>
        </w:rPr>
      </w:pPr>
    </w:p>
    <w:p w14:paraId="7F6961A6" w14:textId="5C5BF918" w:rsidR="00E13C27" w:rsidRDefault="008F6665" w:rsidP="00E54352">
      <w:pPr>
        <w:pStyle w:val="David"/>
        <w:spacing w:line="360" w:lineRule="auto"/>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מיכל רוזין</w:t>
      </w:r>
      <w:r>
        <w:br/>
      </w:r>
      <w:r>
        <w:rPr>
          <w:rFonts w:hint="cs"/>
          <w:b/>
          <w:bCs/>
          <w:rtl/>
        </w:rPr>
        <w:t xml:space="preserve"> </w:t>
      </w:r>
      <w:r>
        <w:tab/>
      </w:r>
      <w:r>
        <w:tab/>
      </w:r>
      <w:r>
        <w:tab/>
      </w:r>
      <w:r>
        <w:tab/>
      </w:r>
      <w:r>
        <w:rPr>
          <w:rFonts w:hint="cs"/>
          <w:b/>
          <w:bCs/>
          <w:rtl/>
        </w:rPr>
        <w:t>אלעזר שטרן</w:t>
      </w:r>
      <w:r>
        <w:br/>
      </w:r>
      <w:r>
        <w:rPr>
          <w:rFonts w:hint="cs"/>
          <w:b/>
          <w:bCs/>
          <w:rtl/>
        </w:rPr>
        <w:t xml:space="preserve"> </w:t>
      </w:r>
      <w:r>
        <w:tab/>
      </w:r>
      <w:r>
        <w:tab/>
      </w:r>
      <w:r>
        <w:tab/>
      </w:r>
      <w:r>
        <w:tab/>
      </w:r>
      <w:r>
        <w:rPr>
          <w:rFonts w:hint="cs"/>
          <w:b/>
          <w:bCs/>
          <w:rtl/>
        </w:rPr>
        <w:t>דב חנין</w:t>
      </w:r>
      <w:r>
        <w:br/>
      </w:r>
      <w:r>
        <w:rPr>
          <w:rFonts w:hint="cs"/>
          <w:b/>
          <w:bCs/>
          <w:rtl/>
        </w:rPr>
        <w:t xml:space="preserve"> </w:t>
      </w:r>
      <w:r>
        <w:tab/>
      </w:r>
      <w:r>
        <w:tab/>
      </w:r>
      <w:r>
        <w:tab/>
      </w:r>
      <w:r>
        <w:tab/>
      </w:r>
      <w:r>
        <w:rPr>
          <w:rFonts w:hint="cs"/>
          <w:b/>
          <w:bCs/>
          <w:rtl/>
        </w:rPr>
        <w:t>עאידה תומא סלימאן</w:t>
      </w:r>
      <w:r>
        <w:br/>
      </w:r>
      <w:r>
        <w:rPr>
          <w:rFonts w:hint="cs"/>
          <w:b/>
          <w:bCs/>
          <w:rtl/>
        </w:rPr>
        <w:t xml:space="preserve"> </w:t>
      </w:r>
      <w:r>
        <w:tab/>
      </w:r>
      <w:r>
        <w:tab/>
      </w:r>
      <w:r>
        <w:tab/>
      </w:r>
      <w:r>
        <w:tab/>
      </w:r>
      <w:r>
        <w:rPr>
          <w:rFonts w:hint="cs"/>
          <w:b/>
          <w:bCs/>
          <w:rtl/>
        </w:rPr>
        <w:t>יעל גרמן</w:t>
      </w:r>
      <w:r>
        <w:br/>
      </w:r>
      <w:r>
        <w:rPr>
          <w:rFonts w:hint="cs"/>
          <w:b/>
          <w:bCs/>
          <w:rtl/>
        </w:rPr>
        <w:t xml:space="preserve"> </w:t>
      </w:r>
      <w:r>
        <w:tab/>
      </w:r>
      <w:r>
        <w:tab/>
      </w:r>
      <w:r>
        <w:tab/>
      </w:r>
      <w:r>
        <w:tab/>
      </w:r>
      <w:r>
        <w:rPr>
          <w:rFonts w:hint="cs"/>
          <w:b/>
          <w:bCs/>
          <w:rtl/>
        </w:rPr>
        <w:t>זהבה גלאון</w:t>
      </w:r>
      <w:r>
        <w:br/>
      </w:r>
      <w:r>
        <w:rPr>
          <w:rFonts w:hint="cs"/>
          <w:b/>
          <w:bCs/>
          <w:rtl/>
        </w:rPr>
        <w:t xml:space="preserve"> </w:t>
      </w:r>
      <w:r>
        <w:tab/>
      </w:r>
      <w:r>
        <w:tab/>
      </w:r>
      <w:r>
        <w:tab/>
      </w:r>
      <w:r>
        <w:tab/>
      </w:r>
      <w:r>
        <w:rPr>
          <w:rFonts w:hint="cs"/>
          <w:b/>
          <w:bCs/>
          <w:rtl/>
        </w:rPr>
        <w:t>אוסאמה סעדי</w:t>
      </w:r>
      <w:r>
        <w:br/>
      </w:r>
      <w:r>
        <w:rPr>
          <w:rFonts w:hint="cs"/>
          <w:b/>
          <w:bCs/>
          <w:rtl/>
        </w:rPr>
        <w:t xml:space="preserve"> </w:t>
      </w:r>
      <w:r>
        <w:tab/>
      </w:r>
      <w:r>
        <w:tab/>
      </w:r>
      <w:r>
        <w:tab/>
      </w:r>
      <w:r>
        <w:tab/>
      </w:r>
      <w:r>
        <w:rPr>
          <w:rFonts w:hint="cs"/>
          <w:b/>
          <w:bCs/>
          <w:rtl/>
        </w:rPr>
        <w:t>עבדאללה אבו מערוף</w:t>
      </w:r>
      <w:r>
        <w:br/>
      </w:r>
      <w:r>
        <w:rPr>
          <w:rFonts w:hint="cs"/>
          <w:b/>
          <w:bCs/>
          <w:rtl/>
        </w:rPr>
        <w:t xml:space="preserve"> </w:t>
      </w:r>
      <w:r>
        <w:tab/>
      </w:r>
      <w:r>
        <w:tab/>
      </w:r>
      <w:r>
        <w:tab/>
      </w:r>
      <w:r>
        <w:tab/>
      </w:r>
      <w:r>
        <w:rPr>
          <w:rFonts w:hint="cs"/>
          <w:b/>
          <w:bCs/>
          <w:rtl/>
        </w:rPr>
        <w:t>יהודה גליק</w:t>
      </w:r>
      <w:r>
        <w:br/>
      </w:r>
      <w:r>
        <w:rPr>
          <w:rFonts w:hint="cs"/>
          <w:b/>
          <w:bCs/>
          <w:rtl/>
        </w:rPr>
        <w:t xml:space="preserve"> </w:t>
      </w:r>
      <w:r>
        <w:tab/>
      </w:r>
      <w:r>
        <w:tab/>
      </w:r>
      <w:r>
        <w:tab/>
      </w:r>
      <w:r>
        <w:tab/>
      </w:r>
      <w:r>
        <w:rPr>
          <w:rFonts w:hint="cs"/>
          <w:b/>
          <w:bCs/>
          <w:rtl/>
        </w:rPr>
        <w:t>קארין אלהרר</w:t>
      </w:r>
      <w:r>
        <w:br/>
      </w:r>
      <w:r>
        <w:rPr>
          <w:rFonts w:hint="cs"/>
          <w:b/>
          <w:bCs/>
          <w:rtl/>
        </w:rPr>
        <w:t xml:space="preserve"> </w:t>
      </w:r>
      <w:r>
        <w:tab/>
      </w:r>
      <w:r>
        <w:tab/>
      </w:r>
      <w:r>
        <w:tab/>
      </w:r>
      <w:r>
        <w:tab/>
      </w:r>
      <w:r>
        <w:rPr>
          <w:rFonts w:hint="cs"/>
          <w:b/>
          <w:bCs/>
          <w:rtl/>
        </w:rPr>
        <w:t>איתן כבל</w:t>
      </w:r>
      <w:r>
        <w:br/>
      </w:r>
      <w:r>
        <w:rPr>
          <w:rFonts w:hint="cs"/>
          <w:b/>
          <w:bCs/>
          <w:rtl/>
        </w:rPr>
        <w:t xml:space="preserve"> </w:t>
      </w:r>
      <w:r>
        <w:tab/>
      </w:r>
      <w:r>
        <w:tab/>
      </w:r>
      <w:r>
        <w:tab/>
      </w:r>
      <w:r>
        <w:tab/>
      </w:r>
      <w:r>
        <w:rPr>
          <w:rFonts w:hint="cs"/>
          <w:b/>
          <w:bCs/>
          <w:rtl/>
        </w:rPr>
        <w:t>שולי מועלם</w:t>
      </w:r>
      <w:r w:rsidR="00E54352">
        <w:rPr>
          <w:rFonts w:hint="cs"/>
          <w:b/>
          <w:bCs/>
          <w:rtl/>
        </w:rPr>
        <w:t>-</w:t>
      </w:r>
      <w:bookmarkStart w:id="4" w:name="_GoBack"/>
      <w:bookmarkEnd w:id="4"/>
      <w:r>
        <w:rPr>
          <w:rFonts w:hint="cs"/>
          <w:b/>
          <w:bCs/>
          <w:rtl/>
        </w:rPr>
        <w:t>רפאלי</w:t>
      </w:r>
      <w:r>
        <w:br/>
      </w:r>
      <w:r>
        <w:rPr>
          <w:rFonts w:hint="cs"/>
          <w:b/>
          <w:bCs/>
          <w:rtl/>
        </w:rPr>
        <w:t xml:space="preserve"> </w:t>
      </w:r>
      <w:r>
        <w:tab/>
      </w:r>
      <w:r>
        <w:tab/>
      </w:r>
      <w:r>
        <w:tab/>
      </w:r>
      <w:r>
        <w:tab/>
      </w:r>
      <w:r>
        <w:rPr>
          <w:rFonts w:hint="cs"/>
          <w:b/>
          <w:bCs/>
          <w:rtl/>
        </w:rPr>
        <w:t>מירב בן ארי</w:t>
      </w:r>
      <w:r>
        <w:br/>
      </w:r>
      <w:r>
        <w:rPr>
          <w:rFonts w:hint="cs"/>
          <w:b/>
          <w:bCs/>
          <w:rtl/>
        </w:rPr>
        <w:t xml:space="preserve"> </w:t>
      </w:r>
      <w:r>
        <w:tab/>
      </w:r>
      <w:r>
        <w:tab/>
      </w:r>
      <w:r>
        <w:tab/>
      </w:r>
      <w:r>
        <w:tab/>
      </w:r>
      <w:r>
        <w:rPr>
          <w:rFonts w:hint="cs"/>
          <w:b/>
          <w:bCs/>
          <w:rtl/>
        </w:rPr>
        <w:t>אורי מקלב</w:t>
      </w:r>
      <w:r>
        <w:br/>
      </w:r>
      <w:r>
        <w:rPr>
          <w:rFonts w:hint="cs"/>
          <w:b/>
          <w:bCs/>
          <w:rtl/>
        </w:rPr>
        <w:t xml:space="preserve"> </w:t>
      </w:r>
      <w:r>
        <w:tab/>
      </w:r>
      <w:r>
        <w:tab/>
      </w:r>
      <w:r>
        <w:tab/>
      </w:r>
      <w:r>
        <w:tab/>
      </w:r>
      <w:r>
        <w:rPr>
          <w:rFonts w:hint="cs"/>
          <w:b/>
          <w:bCs/>
          <w:rtl/>
        </w:rPr>
        <w:t>רחל עזריה</w:t>
      </w:r>
      <w:r>
        <w:br/>
      </w:r>
      <w:r>
        <w:rPr>
          <w:rFonts w:hint="cs"/>
          <w:b/>
          <w:bCs/>
          <w:rtl/>
        </w:rPr>
        <w:t xml:space="preserve"> </w:t>
      </w:r>
      <w:r>
        <w:tab/>
      </w:r>
      <w:r>
        <w:tab/>
      </w:r>
      <w:r>
        <w:tab/>
      </w:r>
      <w:r>
        <w:tab/>
      </w:r>
      <w:r>
        <w:rPr>
          <w:rFonts w:hint="cs"/>
          <w:b/>
          <w:bCs/>
          <w:rtl/>
        </w:rPr>
        <w:t>שרן השכל</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5" w:name="LGS_Join_List"/>
      <w:r>
        <w:rPr>
          <w:rtl/>
        </w:rPr>
        <w:t xml:space="preserve"> </w:t>
      </w:r>
      <w:bookmarkEnd w:id="5"/>
      <w:r w:rsidR="002200A1" w:rsidRPr="00CF1AA2">
        <w:rPr>
          <w:rFonts w:hint="cs"/>
          <w:rtl/>
        </w:rPr>
        <w:tab/>
      </w:r>
      <w:bookmarkStart w:id="6" w:name="LGS_PM_NamesJoin"/>
      <w:r>
        <w:rPr>
          <w:rFonts w:hint="cs"/>
          <w:rtl/>
        </w:rPr>
        <w:t xml:space="preserve"> </w:t>
      </w:r>
      <w:bookmarkEnd w:id="6"/>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7" w:name="Private_Number"/>
      <w:r>
        <w:rPr>
          <w:rFonts w:hint="cs"/>
          <w:rtl/>
        </w:rPr>
        <w:t>פ/3772/20</w:t>
      </w:r>
      <w:bookmarkEnd w:id="7"/>
    </w:p>
    <w:p w14:paraId="7F6961AC" w14:textId="77777777" w:rsidR="00E13C27" w:rsidRDefault="00E13C27" w:rsidP="00E13C27">
      <w:pPr>
        <w:spacing w:before="0" w:line="360" w:lineRule="auto"/>
        <w:ind w:left="2880" w:firstLine="720"/>
        <w:rPr>
          <w:rFonts w:cs="David"/>
          <w:sz w:val="26"/>
          <w:szCs w:val="26"/>
          <w:rtl/>
        </w:rPr>
      </w:pPr>
    </w:p>
    <w:p w14:paraId="7F6961AD" w14:textId="67D3F80B" w:rsidR="00E13C27" w:rsidRPr="00F67051" w:rsidRDefault="00A443CF" w:rsidP="00183A01">
      <w:pPr>
        <w:pStyle w:val="HeadHatzaotHok"/>
        <w:rPr>
          <w:rtl/>
        </w:rPr>
      </w:pPr>
      <w:bookmarkStart w:id="8" w:name="LGS_Subject"/>
      <w:r>
        <w:rPr>
          <w:rFonts w:hint="cs"/>
          <w:rtl/>
        </w:rPr>
        <w:t xml:space="preserve">הצעת חוק סדר הדין הפלילי (תיקון </w:t>
      </w:r>
      <w:r w:rsidR="00183A01">
        <w:rPr>
          <w:rFonts w:hint="eastAsia"/>
          <w:rtl/>
        </w:rPr>
        <w:t>–</w:t>
      </w:r>
      <w:r>
        <w:rPr>
          <w:rFonts w:hint="cs"/>
          <w:rtl/>
        </w:rPr>
        <w:t xml:space="preserve"> שינוי שם עילת "חוסר עניין לציבור" בסגירת תיקים), התשע"ז</w:t>
      </w:r>
      <w:r w:rsidR="00183A01">
        <w:rPr>
          <w:rFonts w:hint="eastAsia"/>
          <w:rtl/>
        </w:rPr>
        <w:t>–</w:t>
      </w:r>
      <w:r>
        <w:rPr>
          <w:rFonts w:hint="cs"/>
          <w:rtl/>
        </w:rPr>
        <w:t>2017</w:t>
      </w:r>
      <w:bookmarkEnd w:id="8"/>
    </w:p>
    <w:p w14:paraId="7F6961AE" w14:textId="77777777" w:rsidR="00E13C27" w:rsidRDefault="00E13C27" w:rsidP="0021633A">
      <w:pPr>
        <w:pStyle w:val="HeadDivreiHesber"/>
        <w:spacing w:before="0" w:after="0"/>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2F1D80" w14:paraId="035EEF3D" w14:textId="77777777" w:rsidTr="00C25910">
        <w:trPr>
          <w:cantSplit/>
        </w:trPr>
        <w:tc>
          <w:tcPr>
            <w:tcW w:w="1871" w:type="dxa"/>
          </w:tcPr>
          <w:p w14:paraId="3863FF98" w14:textId="2DF4EDF7" w:rsidR="002F1D80" w:rsidRDefault="00F41610" w:rsidP="00F41610">
            <w:pPr>
              <w:pStyle w:val="TableSideHeading"/>
              <w:keepLines w:val="0"/>
            </w:pPr>
            <w:r>
              <w:rPr>
                <w:rFonts w:hint="cs"/>
                <w:rtl/>
              </w:rPr>
              <w:t>תיקון סעיף 59</w:t>
            </w:r>
          </w:p>
        </w:tc>
        <w:tc>
          <w:tcPr>
            <w:tcW w:w="624" w:type="dxa"/>
          </w:tcPr>
          <w:p w14:paraId="6F513EF6" w14:textId="28AA814E" w:rsidR="002F1D80" w:rsidRDefault="00440004" w:rsidP="002C3041">
            <w:pPr>
              <w:pStyle w:val="TableText"/>
              <w:keepLines w:val="0"/>
            </w:pPr>
            <w:r>
              <w:rPr>
                <w:rFonts w:hint="cs"/>
                <w:rtl/>
              </w:rPr>
              <w:t>1.</w:t>
            </w:r>
          </w:p>
        </w:tc>
        <w:tc>
          <w:tcPr>
            <w:tcW w:w="7143" w:type="dxa"/>
          </w:tcPr>
          <w:p w14:paraId="1AE94DEB" w14:textId="5D652AB1" w:rsidR="002F1D80" w:rsidRPr="00C25910" w:rsidRDefault="00440004" w:rsidP="006A24A9">
            <w:pPr>
              <w:pStyle w:val="TableBlock"/>
            </w:pPr>
            <w:r w:rsidRPr="00C25910">
              <w:rPr>
                <w:rFonts w:hint="cs"/>
                <w:rtl/>
              </w:rPr>
              <w:t>בחוק סדר הדין הפלילי</w:t>
            </w:r>
            <w:r w:rsidR="006A24A9">
              <w:rPr>
                <w:rFonts w:hint="cs"/>
                <w:rtl/>
              </w:rPr>
              <w:t xml:space="preserve"> [נוסח משולב]</w:t>
            </w:r>
            <w:r w:rsidRPr="00C25910">
              <w:rPr>
                <w:rFonts w:hint="cs"/>
                <w:rtl/>
              </w:rPr>
              <w:t>, התשמ"ב</w:t>
            </w:r>
            <w:r w:rsidR="00C25910" w:rsidRPr="00C25910">
              <w:rPr>
                <w:rFonts w:hint="cs"/>
                <w:rtl/>
              </w:rPr>
              <w:t>–1982</w:t>
            </w:r>
            <w:r w:rsidR="00C25910" w:rsidRPr="003D7CCC">
              <w:rPr>
                <w:vertAlign w:val="superscript"/>
                <w:rtl/>
              </w:rPr>
              <w:footnoteReference w:id="2"/>
            </w:r>
            <w:r w:rsidR="00C25910" w:rsidRPr="003D7CCC">
              <w:rPr>
                <w:rFonts w:hint="cs"/>
                <w:vertAlign w:val="superscript"/>
                <w:rtl/>
              </w:rPr>
              <w:t xml:space="preserve"> </w:t>
            </w:r>
            <w:r w:rsidRPr="00C25910">
              <w:rPr>
                <w:rFonts w:hint="cs"/>
                <w:rtl/>
              </w:rPr>
              <w:t xml:space="preserve">(להלן </w:t>
            </w:r>
            <w:r w:rsidRPr="00C25910">
              <w:rPr>
                <w:rtl/>
              </w:rPr>
              <w:t>–</w:t>
            </w:r>
            <w:r w:rsidRPr="00C25910">
              <w:rPr>
                <w:rFonts w:hint="cs"/>
                <w:rtl/>
              </w:rPr>
              <w:t xml:space="preserve"> החוק העיקרי)</w:t>
            </w:r>
            <w:r w:rsidR="00C25910">
              <w:rPr>
                <w:rFonts w:hint="cs"/>
                <w:rtl/>
              </w:rPr>
              <w:t xml:space="preserve">, </w:t>
            </w:r>
            <w:r w:rsidRPr="00C25910">
              <w:rPr>
                <w:rFonts w:hint="cs"/>
                <w:rtl/>
              </w:rPr>
              <w:t>בסעיף 59, במקום "שאין בד</w:t>
            </w:r>
            <w:r w:rsidR="00543987" w:rsidRPr="00C25910">
              <w:rPr>
                <w:rFonts w:hint="cs"/>
                <w:rtl/>
              </w:rPr>
              <w:t xml:space="preserve">בר ענין לציבור" יבוא "שנסיבות העניין אינן מצדיקות פתיחת חקירה". </w:t>
            </w:r>
          </w:p>
        </w:tc>
      </w:tr>
      <w:tr w:rsidR="002F1D80" w14:paraId="3D9B61D1" w14:textId="77777777" w:rsidTr="00C25910">
        <w:trPr>
          <w:cantSplit/>
        </w:trPr>
        <w:tc>
          <w:tcPr>
            <w:tcW w:w="1871" w:type="dxa"/>
          </w:tcPr>
          <w:p w14:paraId="6C0CB9D8" w14:textId="0162B74A" w:rsidR="002F1D80" w:rsidRDefault="00F41610" w:rsidP="002C3041">
            <w:pPr>
              <w:pStyle w:val="TableSideHeading"/>
              <w:keepLines w:val="0"/>
            </w:pPr>
            <w:r>
              <w:rPr>
                <w:rFonts w:hint="cs"/>
                <w:rtl/>
              </w:rPr>
              <w:t>תיקון סעיף 59א</w:t>
            </w:r>
          </w:p>
        </w:tc>
        <w:tc>
          <w:tcPr>
            <w:tcW w:w="624" w:type="dxa"/>
          </w:tcPr>
          <w:p w14:paraId="3F4286A2" w14:textId="495B0E0C" w:rsidR="002F1D80" w:rsidRDefault="00543987" w:rsidP="002C3041">
            <w:pPr>
              <w:pStyle w:val="TableText"/>
              <w:keepLines w:val="0"/>
            </w:pPr>
            <w:r>
              <w:rPr>
                <w:rFonts w:hint="cs"/>
                <w:rtl/>
              </w:rPr>
              <w:t>2.</w:t>
            </w:r>
          </w:p>
        </w:tc>
        <w:tc>
          <w:tcPr>
            <w:tcW w:w="7143" w:type="dxa"/>
          </w:tcPr>
          <w:p w14:paraId="7633D5BB" w14:textId="6C517946" w:rsidR="002F1D80" w:rsidRPr="00440004" w:rsidRDefault="00374F71" w:rsidP="00C25910">
            <w:pPr>
              <w:pStyle w:val="TableBlock"/>
            </w:pPr>
            <w:r>
              <w:rPr>
                <w:rFonts w:hint="cs"/>
                <w:rtl/>
              </w:rPr>
              <w:t>בסעיף 59א(ב) לחוק העיקרי,</w:t>
            </w:r>
            <w:r w:rsidR="00F41610">
              <w:rPr>
                <w:rFonts w:hint="cs"/>
                <w:rtl/>
              </w:rPr>
              <w:t xml:space="preserve"> במקום "שאין בדבר ענין לציבור" יבוא "שנסיבות העניין אינן מצדיקות פתיחת חקירה".</w:t>
            </w:r>
          </w:p>
        </w:tc>
      </w:tr>
      <w:tr w:rsidR="00543987" w14:paraId="31A12762" w14:textId="77777777" w:rsidTr="00C25910">
        <w:trPr>
          <w:cantSplit/>
        </w:trPr>
        <w:tc>
          <w:tcPr>
            <w:tcW w:w="1871" w:type="dxa"/>
          </w:tcPr>
          <w:p w14:paraId="1B94446F" w14:textId="3F1C6892" w:rsidR="00543987" w:rsidRDefault="00F41610" w:rsidP="002C3041">
            <w:pPr>
              <w:pStyle w:val="TableSideHeading"/>
              <w:keepLines w:val="0"/>
            </w:pPr>
            <w:r>
              <w:rPr>
                <w:rFonts w:hint="cs"/>
                <w:rtl/>
              </w:rPr>
              <w:t>תיקון סעיף 62</w:t>
            </w:r>
          </w:p>
        </w:tc>
        <w:tc>
          <w:tcPr>
            <w:tcW w:w="624" w:type="dxa"/>
          </w:tcPr>
          <w:p w14:paraId="22120FCC" w14:textId="2C65AEC9" w:rsidR="00543987" w:rsidRDefault="00543987" w:rsidP="002C3041">
            <w:pPr>
              <w:pStyle w:val="TableText"/>
              <w:keepLines w:val="0"/>
              <w:rPr>
                <w:rtl/>
              </w:rPr>
            </w:pPr>
            <w:r>
              <w:rPr>
                <w:rFonts w:hint="cs"/>
                <w:rtl/>
              </w:rPr>
              <w:t>3.</w:t>
            </w:r>
          </w:p>
        </w:tc>
        <w:tc>
          <w:tcPr>
            <w:tcW w:w="7143" w:type="dxa"/>
          </w:tcPr>
          <w:p w14:paraId="29F4DBCE" w14:textId="46B416F7" w:rsidR="00543987" w:rsidRDefault="00F41610" w:rsidP="00C25910">
            <w:pPr>
              <w:pStyle w:val="TableBlock"/>
              <w:rPr>
                <w:rtl/>
              </w:rPr>
            </w:pPr>
            <w:r>
              <w:rPr>
                <w:rFonts w:hint="cs"/>
                <w:rtl/>
              </w:rPr>
              <w:t xml:space="preserve">בסעיף 62(א) לחוק העיקרי </w:t>
            </w:r>
            <w:r>
              <w:rPr>
                <w:rtl/>
              </w:rPr>
              <w:t>–</w:t>
            </w:r>
            <w:r w:rsidR="00374F71">
              <w:rPr>
                <w:rFonts w:hint="cs"/>
                <w:rtl/>
              </w:rPr>
              <w:t xml:space="preserve"> </w:t>
            </w:r>
          </w:p>
        </w:tc>
      </w:tr>
      <w:tr w:rsidR="00543987" w14:paraId="2A4C5734" w14:textId="77777777" w:rsidTr="00C25910">
        <w:trPr>
          <w:cantSplit/>
        </w:trPr>
        <w:tc>
          <w:tcPr>
            <w:tcW w:w="1871" w:type="dxa"/>
          </w:tcPr>
          <w:p w14:paraId="6FC11591" w14:textId="6336F9C3" w:rsidR="00543987" w:rsidRDefault="00543987" w:rsidP="002C3041">
            <w:pPr>
              <w:pStyle w:val="TableSideHeading"/>
              <w:keepLines w:val="0"/>
              <w:rPr>
                <w:rtl/>
              </w:rPr>
            </w:pPr>
          </w:p>
        </w:tc>
        <w:tc>
          <w:tcPr>
            <w:tcW w:w="624" w:type="dxa"/>
          </w:tcPr>
          <w:p w14:paraId="5D654FBD" w14:textId="77777777" w:rsidR="00543987" w:rsidRDefault="00543987" w:rsidP="002C3041">
            <w:pPr>
              <w:pStyle w:val="TableText"/>
              <w:keepLines w:val="0"/>
              <w:rPr>
                <w:rtl/>
              </w:rPr>
            </w:pPr>
          </w:p>
        </w:tc>
        <w:tc>
          <w:tcPr>
            <w:tcW w:w="7143" w:type="dxa"/>
          </w:tcPr>
          <w:p w14:paraId="12B0F8FA" w14:textId="12D691ED" w:rsidR="00543987" w:rsidRDefault="00374F71" w:rsidP="00C25910">
            <w:pPr>
              <w:pStyle w:val="TableBlock"/>
              <w:numPr>
                <w:ilvl w:val="0"/>
                <w:numId w:val="23"/>
              </w:numPr>
              <w:ind w:left="0" w:firstLine="0"/>
              <w:rPr>
                <w:rtl/>
              </w:rPr>
            </w:pPr>
            <w:r>
              <w:rPr>
                <w:rFonts w:hint="cs"/>
                <w:rtl/>
              </w:rPr>
              <w:t>במקום "שאין במשפט עניין לציבור" יבוא "שנסיבו</w:t>
            </w:r>
            <w:r w:rsidR="00D20343">
              <w:rPr>
                <w:rFonts w:hint="cs"/>
                <w:rtl/>
              </w:rPr>
              <w:t>ת העניין אינן מצדיקות העמדה לדין</w:t>
            </w:r>
            <w:r w:rsidR="006A24A9">
              <w:rPr>
                <w:rFonts w:hint="cs"/>
                <w:rtl/>
              </w:rPr>
              <w:t>";</w:t>
            </w:r>
          </w:p>
        </w:tc>
      </w:tr>
      <w:tr w:rsidR="00543987" w14:paraId="77EDEF67" w14:textId="77777777" w:rsidTr="00C25910">
        <w:trPr>
          <w:cantSplit/>
        </w:trPr>
        <w:tc>
          <w:tcPr>
            <w:tcW w:w="1871" w:type="dxa"/>
          </w:tcPr>
          <w:p w14:paraId="568316A7" w14:textId="77777777" w:rsidR="00543987" w:rsidRDefault="00543987" w:rsidP="002C3041">
            <w:pPr>
              <w:pStyle w:val="TableSideHeading"/>
              <w:keepLines w:val="0"/>
              <w:rPr>
                <w:rtl/>
              </w:rPr>
            </w:pPr>
          </w:p>
        </w:tc>
        <w:tc>
          <w:tcPr>
            <w:tcW w:w="624" w:type="dxa"/>
          </w:tcPr>
          <w:p w14:paraId="7E08D763" w14:textId="77777777" w:rsidR="00543987" w:rsidRDefault="00543987" w:rsidP="002C3041">
            <w:pPr>
              <w:pStyle w:val="TableText"/>
              <w:keepLines w:val="0"/>
              <w:rPr>
                <w:rtl/>
              </w:rPr>
            </w:pPr>
          </w:p>
        </w:tc>
        <w:tc>
          <w:tcPr>
            <w:tcW w:w="7143" w:type="dxa"/>
          </w:tcPr>
          <w:p w14:paraId="343BDF2F" w14:textId="6A7EE759" w:rsidR="00543987" w:rsidRDefault="00374F71" w:rsidP="00C25910">
            <w:pPr>
              <w:pStyle w:val="TableBlock"/>
              <w:numPr>
                <w:ilvl w:val="0"/>
                <w:numId w:val="23"/>
              </w:numPr>
              <w:ind w:left="0" w:firstLine="0"/>
              <w:rPr>
                <w:rtl/>
              </w:rPr>
            </w:pPr>
            <w:r>
              <w:rPr>
                <w:rFonts w:hint="cs"/>
                <w:rtl/>
              </w:rPr>
              <w:t>במקום "בשל העדר ענין לציבור" יבוא "</w:t>
            </w:r>
            <w:r w:rsidR="00FC7295">
              <w:rPr>
                <w:rFonts w:hint="cs"/>
                <w:rtl/>
              </w:rPr>
              <w:t>בשל עילה זו</w:t>
            </w:r>
            <w:r>
              <w:rPr>
                <w:rFonts w:hint="cs"/>
                <w:rtl/>
              </w:rPr>
              <w:t>".</w:t>
            </w:r>
          </w:p>
        </w:tc>
      </w:tr>
      <w:tr w:rsidR="00543987" w14:paraId="1FDB2A37" w14:textId="77777777" w:rsidTr="00C25910">
        <w:trPr>
          <w:cantSplit/>
        </w:trPr>
        <w:tc>
          <w:tcPr>
            <w:tcW w:w="1871" w:type="dxa"/>
          </w:tcPr>
          <w:p w14:paraId="47BD9C3A" w14:textId="413C957B" w:rsidR="00543987" w:rsidRDefault="00374F71" w:rsidP="002C3041">
            <w:pPr>
              <w:pStyle w:val="TableSideHeading"/>
              <w:keepLines w:val="0"/>
              <w:rPr>
                <w:rtl/>
              </w:rPr>
            </w:pPr>
            <w:r>
              <w:rPr>
                <w:rFonts w:hint="cs"/>
                <w:rtl/>
              </w:rPr>
              <w:t>תיקון סעיף 62א</w:t>
            </w:r>
          </w:p>
        </w:tc>
        <w:tc>
          <w:tcPr>
            <w:tcW w:w="624" w:type="dxa"/>
          </w:tcPr>
          <w:p w14:paraId="501F26E0" w14:textId="4C9FCBC0" w:rsidR="00543987" w:rsidRDefault="00374F71" w:rsidP="002C3041">
            <w:pPr>
              <w:pStyle w:val="TableText"/>
              <w:keepLines w:val="0"/>
              <w:rPr>
                <w:rtl/>
              </w:rPr>
            </w:pPr>
            <w:r>
              <w:rPr>
                <w:rFonts w:hint="cs"/>
                <w:rtl/>
              </w:rPr>
              <w:t>4.</w:t>
            </w:r>
          </w:p>
        </w:tc>
        <w:tc>
          <w:tcPr>
            <w:tcW w:w="7143" w:type="dxa"/>
          </w:tcPr>
          <w:p w14:paraId="562335FE" w14:textId="28B43859" w:rsidR="00543987" w:rsidRDefault="00374F71" w:rsidP="00C25910">
            <w:pPr>
              <w:pStyle w:val="TableBlock"/>
              <w:rPr>
                <w:rtl/>
              </w:rPr>
            </w:pPr>
            <w:r>
              <w:rPr>
                <w:rFonts w:hint="cs"/>
                <w:rtl/>
              </w:rPr>
              <w:t>בסעיף 62א(ב) לחוק העיקרי</w:t>
            </w:r>
            <w:r w:rsidR="00D20343">
              <w:rPr>
                <w:rFonts w:hint="cs"/>
                <w:rtl/>
              </w:rPr>
              <w:t xml:space="preserve">, במקום "שאין במשפט ענין לציבור" יבוא "שנסיבות העניין אינן מצדיקות העמדה לדין".  </w:t>
            </w:r>
          </w:p>
        </w:tc>
      </w:tr>
      <w:tr w:rsidR="00543987" w14:paraId="5B0DDB80" w14:textId="77777777" w:rsidTr="00C25910">
        <w:trPr>
          <w:cantSplit/>
        </w:trPr>
        <w:tc>
          <w:tcPr>
            <w:tcW w:w="1871" w:type="dxa"/>
          </w:tcPr>
          <w:p w14:paraId="185CAC19" w14:textId="14C096C9" w:rsidR="00543987" w:rsidRDefault="00D20343" w:rsidP="002C3041">
            <w:pPr>
              <w:pStyle w:val="TableSideHeading"/>
              <w:keepLines w:val="0"/>
              <w:rPr>
                <w:rtl/>
              </w:rPr>
            </w:pPr>
            <w:r>
              <w:rPr>
                <w:rFonts w:hint="cs"/>
                <w:rtl/>
              </w:rPr>
              <w:t>תיקון סעיף 64</w:t>
            </w:r>
          </w:p>
        </w:tc>
        <w:tc>
          <w:tcPr>
            <w:tcW w:w="624" w:type="dxa"/>
          </w:tcPr>
          <w:p w14:paraId="3642F899" w14:textId="3B6566C0" w:rsidR="00543987" w:rsidRDefault="00D20343" w:rsidP="002C3041">
            <w:pPr>
              <w:pStyle w:val="TableText"/>
              <w:keepLines w:val="0"/>
              <w:rPr>
                <w:rtl/>
              </w:rPr>
            </w:pPr>
            <w:r>
              <w:rPr>
                <w:rFonts w:hint="cs"/>
                <w:rtl/>
              </w:rPr>
              <w:t>5.</w:t>
            </w:r>
          </w:p>
        </w:tc>
        <w:tc>
          <w:tcPr>
            <w:tcW w:w="7143" w:type="dxa"/>
          </w:tcPr>
          <w:p w14:paraId="4247E44B" w14:textId="7614B717" w:rsidR="00543987" w:rsidRDefault="00D20343" w:rsidP="006A24A9">
            <w:pPr>
              <w:pStyle w:val="TableBlock"/>
              <w:rPr>
                <w:rtl/>
              </w:rPr>
            </w:pPr>
            <w:r>
              <w:rPr>
                <w:rFonts w:hint="cs"/>
                <w:rtl/>
              </w:rPr>
              <w:t>בסעיף 64(א)</w:t>
            </w:r>
            <w:r w:rsidR="00C25910">
              <w:rPr>
                <w:rFonts w:hint="cs"/>
                <w:rtl/>
              </w:rPr>
              <w:t xml:space="preserve"> לחוק העיקרי</w:t>
            </w:r>
            <w:r w:rsidR="006A24A9">
              <w:rPr>
                <w:rFonts w:hint="cs"/>
                <w:rtl/>
              </w:rPr>
              <w:t xml:space="preserve"> </w:t>
            </w:r>
            <w:r w:rsidR="006A24A9">
              <w:rPr>
                <w:rFonts w:hint="eastAsia"/>
                <w:rtl/>
              </w:rPr>
              <w:t>–</w:t>
            </w:r>
          </w:p>
        </w:tc>
      </w:tr>
      <w:tr w:rsidR="006A24A9" w14:paraId="1C84ED03" w14:textId="77777777" w:rsidTr="00C25910">
        <w:trPr>
          <w:cantSplit/>
        </w:trPr>
        <w:tc>
          <w:tcPr>
            <w:tcW w:w="1871" w:type="dxa"/>
          </w:tcPr>
          <w:p w14:paraId="311FB32B" w14:textId="77777777" w:rsidR="006A24A9" w:rsidRDefault="006A24A9" w:rsidP="002C3041">
            <w:pPr>
              <w:pStyle w:val="TableSideHeading"/>
              <w:keepLines w:val="0"/>
              <w:rPr>
                <w:rtl/>
              </w:rPr>
            </w:pPr>
          </w:p>
        </w:tc>
        <w:tc>
          <w:tcPr>
            <w:tcW w:w="624" w:type="dxa"/>
          </w:tcPr>
          <w:p w14:paraId="2829542F" w14:textId="77777777" w:rsidR="006A24A9" w:rsidRDefault="006A24A9" w:rsidP="006A24A9">
            <w:pPr>
              <w:pStyle w:val="TableText"/>
              <w:rPr>
                <w:rtl/>
              </w:rPr>
            </w:pPr>
          </w:p>
        </w:tc>
        <w:tc>
          <w:tcPr>
            <w:tcW w:w="7143" w:type="dxa"/>
          </w:tcPr>
          <w:p w14:paraId="548F6790" w14:textId="291328CD" w:rsidR="006A24A9" w:rsidRDefault="006A24A9" w:rsidP="006A24A9">
            <w:pPr>
              <w:pStyle w:val="TableBlock"/>
              <w:rPr>
                <w:rtl/>
              </w:rPr>
            </w:pPr>
            <w:r>
              <w:rPr>
                <w:rFonts w:hint="cs"/>
                <w:rtl/>
              </w:rPr>
              <w:t>(1)</w:t>
            </w:r>
            <w:r>
              <w:rPr>
                <w:rtl/>
              </w:rPr>
              <w:tab/>
            </w:r>
            <w:r>
              <w:rPr>
                <w:rFonts w:hint="cs"/>
                <w:rtl/>
              </w:rPr>
              <w:t>ברישה, במקום "משום שאין בחקירה או במשפט ענין לציבור" יבוא "משום שנסיבות העניין אינן מצדיקות חקירה או העמדה לדין";</w:t>
            </w:r>
          </w:p>
        </w:tc>
      </w:tr>
      <w:tr w:rsidR="00543987" w14:paraId="03A1756D" w14:textId="77777777" w:rsidTr="00C25910">
        <w:trPr>
          <w:cantSplit/>
        </w:trPr>
        <w:tc>
          <w:tcPr>
            <w:tcW w:w="1871" w:type="dxa"/>
          </w:tcPr>
          <w:p w14:paraId="08C2BD45" w14:textId="40339707" w:rsidR="00543987" w:rsidRDefault="00543987" w:rsidP="002C3041">
            <w:pPr>
              <w:pStyle w:val="TableSideHeading"/>
              <w:keepLines w:val="0"/>
              <w:rPr>
                <w:rtl/>
              </w:rPr>
            </w:pPr>
          </w:p>
        </w:tc>
        <w:tc>
          <w:tcPr>
            <w:tcW w:w="624" w:type="dxa"/>
          </w:tcPr>
          <w:p w14:paraId="31E3C048" w14:textId="6735B248" w:rsidR="00543987" w:rsidRDefault="00543987" w:rsidP="002C3041">
            <w:pPr>
              <w:pStyle w:val="TableText"/>
              <w:keepLines w:val="0"/>
              <w:rPr>
                <w:rtl/>
              </w:rPr>
            </w:pPr>
          </w:p>
        </w:tc>
        <w:tc>
          <w:tcPr>
            <w:tcW w:w="7143" w:type="dxa"/>
          </w:tcPr>
          <w:p w14:paraId="09545730" w14:textId="0099E54F" w:rsidR="00543987" w:rsidRDefault="006A24A9" w:rsidP="006A24A9">
            <w:pPr>
              <w:pStyle w:val="TableBlock"/>
              <w:rPr>
                <w:rtl/>
              </w:rPr>
            </w:pPr>
            <w:r>
              <w:rPr>
                <w:rFonts w:hint="cs"/>
                <w:rtl/>
              </w:rPr>
              <w:t>ׁ(2)</w:t>
            </w:r>
            <w:r>
              <w:rPr>
                <w:rtl/>
              </w:rPr>
              <w:tab/>
            </w:r>
            <w:r>
              <w:rPr>
                <w:rFonts w:hint="cs"/>
                <w:rtl/>
              </w:rPr>
              <w:t xml:space="preserve">בפסקה </w:t>
            </w:r>
            <w:r w:rsidR="00FC7295">
              <w:rPr>
                <w:rFonts w:hint="cs"/>
                <w:rtl/>
              </w:rPr>
              <w:t>(3)</w:t>
            </w:r>
            <w:r w:rsidR="005D3DB1">
              <w:rPr>
                <w:rFonts w:hint="cs"/>
                <w:rtl/>
              </w:rPr>
              <w:t>, במקום "בשל העדר ענין לציבור" יבוא "</w:t>
            </w:r>
            <w:r w:rsidR="00FC7295">
              <w:rPr>
                <w:rFonts w:hint="cs"/>
                <w:rtl/>
              </w:rPr>
              <w:t xml:space="preserve">בשל נסיבות שאינן מצדיקות </w:t>
            </w:r>
            <w:r w:rsidR="00C25910">
              <w:rPr>
                <w:rFonts w:hint="cs"/>
                <w:rtl/>
              </w:rPr>
              <w:t>העמדה לדין</w:t>
            </w:r>
            <w:r w:rsidR="005D3DB1">
              <w:rPr>
                <w:rFonts w:hint="cs"/>
                <w:rtl/>
              </w:rPr>
              <w:t>".</w:t>
            </w:r>
          </w:p>
        </w:tc>
      </w:tr>
      <w:tr w:rsidR="005D3DB1" w14:paraId="2B62AFC6" w14:textId="77777777" w:rsidTr="00C25910">
        <w:trPr>
          <w:cantSplit/>
        </w:trPr>
        <w:tc>
          <w:tcPr>
            <w:tcW w:w="1871" w:type="dxa"/>
          </w:tcPr>
          <w:p w14:paraId="76DBD3A7" w14:textId="2D0B908F" w:rsidR="005D3DB1" w:rsidRDefault="005D3DB1" w:rsidP="002C3041">
            <w:pPr>
              <w:pStyle w:val="TableSideHeading"/>
              <w:keepLines w:val="0"/>
              <w:rPr>
                <w:rtl/>
              </w:rPr>
            </w:pPr>
            <w:r>
              <w:rPr>
                <w:rFonts w:hint="cs"/>
                <w:rtl/>
              </w:rPr>
              <w:t>תיקון סעיף 67ז</w:t>
            </w:r>
          </w:p>
        </w:tc>
        <w:tc>
          <w:tcPr>
            <w:tcW w:w="624" w:type="dxa"/>
          </w:tcPr>
          <w:p w14:paraId="6A53AB2C" w14:textId="65551F30" w:rsidR="005D3DB1" w:rsidRDefault="005D3DB1" w:rsidP="002C3041">
            <w:pPr>
              <w:pStyle w:val="TableText"/>
              <w:keepLines w:val="0"/>
              <w:rPr>
                <w:rtl/>
              </w:rPr>
            </w:pPr>
            <w:r>
              <w:rPr>
                <w:rFonts w:hint="cs"/>
                <w:rtl/>
              </w:rPr>
              <w:t>6.</w:t>
            </w:r>
          </w:p>
        </w:tc>
        <w:tc>
          <w:tcPr>
            <w:tcW w:w="7143" w:type="dxa"/>
          </w:tcPr>
          <w:p w14:paraId="26DA9A6B" w14:textId="73918DBA" w:rsidR="005D3DB1" w:rsidRDefault="005D3DB1" w:rsidP="003D26D7">
            <w:pPr>
              <w:pStyle w:val="TableBlock"/>
              <w:rPr>
                <w:rtl/>
              </w:rPr>
            </w:pPr>
            <w:r>
              <w:rPr>
                <w:rFonts w:hint="cs"/>
                <w:rtl/>
              </w:rPr>
              <w:t>בסעיף 67ז</w:t>
            </w:r>
            <w:r w:rsidR="003D26D7">
              <w:rPr>
                <w:rFonts w:hint="cs"/>
                <w:rtl/>
              </w:rPr>
              <w:t xml:space="preserve"> </w:t>
            </w:r>
            <w:r>
              <w:rPr>
                <w:rFonts w:hint="cs"/>
                <w:rtl/>
              </w:rPr>
              <w:t>לחוק העיקרי</w:t>
            </w:r>
            <w:r w:rsidR="00C25910">
              <w:rPr>
                <w:rFonts w:hint="cs"/>
                <w:rtl/>
              </w:rPr>
              <w:t xml:space="preserve"> </w:t>
            </w:r>
            <w:r w:rsidR="00C25910">
              <w:rPr>
                <w:rtl/>
              </w:rPr>
              <w:t>–</w:t>
            </w:r>
          </w:p>
        </w:tc>
      </w:tr>
      <w:tr w:rsidR="00C25910" w14:paraId="693E7C37" w14:textId="77777777" w:rsidTr="00C25910">
        <w:trPr>
          <w:cantSplit/>
        </w:trPr>
        <w:tc>
          <w:tcPr>
            <w:tcW w:w="1871" w:type="dxa"/>
          </w:tcPr>
          <w:p w14:paraId="057A0F9D" w14:textId="77777777" w:rsidR="00C25910" w:rsidRDefault="00C25910" w:rsidP="002C3041">
            <w:pPr>
              <w:pStyle w:val="TableSideHeading"/>
              <w:keepLines w:val="0"/>
              <w:rPr>
                <w:rtl/>
              </w:rPr>
            </w:pPr>
          </w:p>
        </w:tc>
        <w:tc>
          <w:tcPr>
            <w:tcW w:w="624" w:type="dxa"/>
          </w:tcPr>
          <w:p w14:paraId="36B5B408" w14:textId="77777777" w:rsidR="00C25910" w:rsidRDefault="00C25910" w:rsidP="00C25910">
            <w:pPr>
              <w:pStyle w:val="TableText"/>
              <w:rPr>
                <w:rtl/>
              </w:rPr>
            </w:pPr>
          </w:p>
        </w:tc>
        <w:tc>
          <w:tcPr>
            <w:tcW w:w="7143" w:type="dxa"/>
          </w:tcPr>
          <w:p w14:paraId="73C86102" w14:textId="0A27D903" w:rsidR="00C25910" w:rsidRDefault="00C25910" w:rsidP="003D26D7">
            <w:pPr>
              <w:pStyle w:val="TableBlock"/>
              <w:rPr>
                <w:rtl/>
              </w:rPr>
            </w:pPr>
            <w:r>
              <w:rPr>
                <w:rFonts w:hint="cs"/>
                <w:rtl/>
              </w:rPr>
              <w:t>(1)</w:t>
            </w:r>
            <w:r>
              <w:rPr>
                <w:rtl/>
              </w:rPr>
              <w:tab/>
            </w:r>
            <w:r w:rsidR="003D26D7">
              <w:rPr>
                <w:rFonts w:hint="cs"/>
                <w:rtl/>
              </w:rPr>
              <w:t xml:space="preserve">בסעיף קטן (א), </w:t>
            </w:r>
            <w:r>
              <w:rPr>
                <w:rFonts w:hint="cs"/>
                <w:rtl/>
              </w:rPr>
              <w:t>במקום "שאין בדבר עניין לציבור" יבוא "שנסיבות המקרה אינן מצדיקות העמדה לדין"</w:t>
            </w:r>
            <w:r w:rsidR="003D26D7">
              <w:rPr>
                <w:rFonts w:hint="cs"/>
                <w:rtl/>
              </w:rPr>
              <w:t>;</w:t>
            </w:r>
          </w:p>
        </w:tc>
      </w:tr>
      <w:tr w:rsidR="005D3DB1" w14:paraId="69BF472C" w14:textId="77777777" w:rsidTr="00C25910">
        <w:trPr>
          <w:cantSplit/>
        </w:trPr>
        <w:tc>
          <w:tcPr>
            <w:tcW w:w="1871" w:type="dxa"/>
          </w:tcPr>
          <w:p w14:paraId="43DCC22B" w14:textId="77777777" w:rsidR="005D3DB1" w:rsidRDefault="005D3DB1" w:rsidP="002C3041">
            <w:pPr>
              <w:pStyle w:val="TableSideHeading"/>
              <w:keepLines w:val="0"/>
              <w:rPr>
                <w:rtl/>
              </w:rPr>
            </w:pPr>
          </w:p>
        </w:tc>
        <w:tc>
          <w:tcPr>
            <w:tcW w:w="624" w:type="dxa"/>
          </w:tcPr>
          <w:p w14:paraId="0711BB6C" w14:textId="77777777" w:rsidR="005D3DB1" w:rsidRDefault="005D3DB1" w:rsidP="002C3041">
            <w:pPr>
              <w:pStyle w:val="TableText"/>
              <w:keepLines w:val="0"/>
              <w:rPr>
                <w:rtl/>
              </w:rPr>
            </w:pPr>
          </w:p>
        </w:tc>
        <w:tc>
          <w:tcPr>
            <w:tcW w:w="7143" w:type="dxa"/>
          </w:tcPr>
          <w:p w14:paraId="4E4FE2DE" w14:textId="160908FD" w:rsidR="005D3DB1" w:rsidRDefault="00C25910" w:rsidP="0072457A">
            <w:pPr>
              <w:pStyle w:val="TableBlock"/>
              <w:rPr>
                <w:rtl/>
              </w:rPr>
            </w:pPr>
            <w:r>
              <w:rPr>
                <w:rFonts w:hint="cs"/>
                <w:rtl/>
              </w:rPr>
              <w:t>(2)</w:t>
            </w:r>
            <w:r>
              <w:rPr>
                <w:rtl/>
              </w:rPr>
              <w:tab/>
            </w:r>
            <w:r w:rsidR="003D26D7">
              <w:rPr>
                <w:rFonts w:hint="cs"/>
                <w:rtl/>
              </w:rPr>
              <w:t>בסעיף קטן (ג)</w:t>
            </w:r>
            <w:r>
              <w:rPr>
                <w:rFonts w:hint="cs"/>
                <w:rtl/>
              </w:rPr>
              <w:t>(1)</w:t>
            </w:r>
            <w:r w:rsidR="005D3DB1">
              <w:rPr>
                <w:rFonts w:hint="cs"/>
                <w:rtl/>
              </w:rPr>
              <w:t xml:space="preserve">, במקום </w:t>
            </w:r>
            <w:r w:rsidR="00DC02CC">
              <w:rPr>
                <w:rFonts w:hint="cs"/>
                <w:rtl/>
              </w:rPr>
              <w:t>"שאין בדבר עניין לציבור" יבוא "שנסיבות המקרה אינן מצדיקות העמדה לדין".</w:t>
            </w:r>
          </w:p>
        </w:tc>
      </w:tr>
      <w:tr w:rsidR="00DC02CC" w14:paraId="5C535587" w14:textId="77777777" w:rsidTr="00C25910">
        <w:trPr>
          <w:cantSplit/>
        </w:trPr>
        <w:tc>
          <w:tcPr>
            <w:tcW w:w="1871" w:type="dxa"/>
          </w:tcPr>
          <w:p w14:paraId="7442EA49" w14:textId="799667D5" w:rsidR="00DC02CC" w:rsidRDefault="00DC02CC" w:rsidP="002C3041">
            <w:pPr>
              <w:pStyle w:val="TableSideHeading"/>
              <w:keepLines w:val="0"/>
              <w:rPr>
                <w:rtl/>
              </w:rPr>
            </w:pPr>
            <w:r>
              <w:rPr>
                <w:rFonts w:hint="cs"/>
                <w:rtl/>
              </w:rPr>
              <w:t>תיקון סעיף 229</w:t>
            </w:r>
          </w:p>
        </w:tc>
        <w:tc>
          <w:tcPr>
            <w:tcW w:w="624" w:type="dxa"/>
          </w:tcPr>
          <w:p w14:paraId="4622DAF8" w14:textId="1A1A425A" w:rsidR="00DC02CC" w:rsidRDefault="00DC02CC" w:rsidP="002C3041">
            <w:pPr>
              <w:pStyle w:val="TableText"/>
              <w:keepLines w:val="0"/>
              <w:rPr>
                <w:rtl/>
              </w:rPr>
            </w:pPr>
            <w:r>
              <w:rPr>
                <w:rFonts w:hint="cs"/>
                <w:rtl/>
              </w:rPr>
              <w:t>7.</w:t>
            </w:r>
          </w:p>
        </w:tc>
        <w:tc>
          <w:tcPr>
            <w:tcW w:w="7143" w:type="dxa"/>
          </w:tcPr>
          <w:p w14:paraId="42373E06" w14:textId="36952AB0" w:rsidR="00DC02CC" w:rsidRDefault="00DC02CC" w:rsidP="00C25910">
            <w:pPr>
              <w:pStyle w:val="TableBlock"/>
              <w:rPr>
                <w:rtl/>
              </w:rPr>
            </w:pPr>
            <w:r>
              <w:rPr>
                <w:rFonts w:hint="cs"/>
                <w:rtl/>
              </w:rPr>
              <w:t>בסעיף 229(ג) לחוק העיקרי, במקום "</w:t>
            </w:r>
            <w:r w:rsidRPr="00DC02CC">
              <w:rPr>
                <w:rtl/>
              </w:rPr>
              <w:t>שבנסיבות המקרה אין ענין לציבור בהמשך ההליכים</w:t>
            </w:r>
            <w:r>
              <w:rPr>
                <w:rFonts w:hint="cs"/>
                <w:rtl/>
              </w:rPr>
              <w:t xml:space="preserve">" יבוא "שנסיבות המקרה אינן מצדיקות </w:t>
            </w:r>
            <w:r w:rsidR="00C25910">
              <w:rPr>
                <w:rFonts w:hint="cs"/>
                <w:rtl/>
              </w:rPr>
              <w:t xml:space="preserve">את </w:t>
            </w:r>
            <w:r>
              <w:rPr>
                <w:rFonts w:hint="cs"/>
                <w:rtl/>
              </w:rPr>
              <w:t>המשך ה</w:t>
            </w:r>
            <w:r w:rsidR="00C25910">
              <w:rPr>
                <w:rFonts w:hint="cs"/>
                <w:rtl/>
              </w:rPr>
              <w:t>ה</w:t>
            </w:r>
            <w:r>
              <w:rPr>
                <w:rFonts w:hint="cs"/>
                <w:rtl/>
              </w:rPr>
              <w:t>ליכים".</w:t>
            </w:r>
          </w:p>
        </w:tc>
      </w:tr>
      <w:tr w:rsidR="00C25910" w14:paraId="46E65D98" w14:textId="77777777" w:rsidTr="00C25910">
        <w:trPr>
          <w:cantSplit/>
        </w:trPr>
        <w:tc>
          <w:tcPr>
            <w:tcW w:w="1871" w:type="dxa"/>
          </w:tcPr>
          <w:p w14:paraId="5B4F5F93" w14:textId="1D1FC609" w:rsidR="00C25910" w:rsidRDefault="00C25910" w:rsidP="002C3041">
            <w:pPr>
              <w:pStyle w:val="TableSideHeading"/>
              <w:keepLines w:val="0"/>
              <w:rPr>
                <w:rtl/>
              </w:rPr>
            </w:pPr>
            <w:r>
              <w:rPr>
                <w:rFonts w:hint="cs"/>
                <w:rtl/>
              </w:rPr>
              <w:t>תיקון חוק טיפול בחולי נפש</w:t>
            </w:r>
          </w:p>
        </w:tc>
        <w:tc>
          <w:tcPr>
            <w:tcW w:w="624" w:type="dxa"/>
          </w:tcPr>
          <w:p w14:paraId="0F1278C6" w14:textId="6B2549F5" w:rsidR="00C25910" w:rsidRDefault="00AA1DE3" w:rsidP="00C25910">
            <w:pPr>
              <w:pStyle w:val="TableText"/>
              <w:rPr>
                <w:rtl/>
              </w:rPr>
            </w:pPr>
            <w:r>
              <w:rPr>
                <w:rFonts w:hint="cs"/>
                <w:rtl/>
              </w:rPr>
              <w:t>8.</w:t>
            </w:r>
          </w:p>
        </w:tc>
        <w:tc>
          <w:tcPr>
            <w:tcW w:w="7143" w:type="dxa"/>
          </w:tcPr>
          <w:p w14:paraId="52B00CC2" w14:textId="6873E241" w:rsidR="00C25910" w:rsidRDefault="003D7CCC" w:rsidP="00AA1DE3">
            <w:pPr>
              <w:pStyle w:val="TableBlock"/>
              <w:rPr>
                <w:rtl/>
              </w:rPr>
            </w:pPr>
            <w:r>
              <w:rPr>
                <w:rFonts w:hint="cs"/>
                <w:rtl/>
              </w:rPr>
              <w:t>בחוק טיפול בחולי נפש</w:t>
            </w:r>
            <w:r w:rsidR="00AA1DE3">
              <w:rPr>
                <w:rFonts w:hint="cs"/>
                <w:rtl/>
              </w:rPr>
              <w:t>,</w:t>
            </w:r>
            <w:r>
              <w:rPr>
                <w:rFonts w:hint="cs"/>
                <w:rtl/>
              </w:rPr>
              <w:t xml:space="preserve"> התשנ"א</w:t>
            </w:r>
            <w:r w:rsidR="00AA1DE3">
              <w:rPr>
                <w:rFonts w:hint="eastAsia"/>
                <w:rtl/>
              </w:rPr>
              <w:t>–</w:t>
            </w:r>
            <w:r>
              <w:rPr>
                <w:rFonts w:hint="cs"/>
                <w:rtl/>
              </w:rPr>
              <w:t>1991</w:t>
            </w:r>
            <w:r>
              <w:rPr>
                <w:rStyle w:val="a5"/>
                <w:rtl/>
              </w:rPr>
              <w:footnoteReference w:id="3"/>
            </w:r>
            <w:r>
              <w:rPr>
                <w:rFonts w:hint="cs"/>
                <w:rtl/>
              </w:rPr>
              <w:t>, בסעיף 21א(א), במקום "קיים עניין לציבור" יבוא "קיימת בנסיבות העניין הצדקה".</w:t>
            </w:r>
          </w:p>
        </w:tc>
      </w:tr>
      <w:tr w:rsidR="00C25910" w14:paraId="3091933F" w14:textId="77777777" w:rsidTr="00C25910">
        <w:trPr>
          <w:cantSplit/>
        </w:trPr>
        <w:tc>
          <w:tcPr>
            <w:tcW w:w="1871" w:type="dxa"/>
          </w:tcPr>
          <w:p w14:paraId="5C2C1405" w14:textId="139672C4" w:rsidR="00C25910" w:rsidRDefault="00C25910" w:rsidP="002C3041">
            <w:pPr>
              <w:pStyle w:val="TableSideHeading"/>
              <w:keepLines w:val="0"/>
              <w:rPr>
                <w:rtl/>
              </w:rPr>
            </w:pPr>
            <w:r>
              <w:rPr>
                <w:rFonts w:hint="cs"/>
                <w:rtl/>
              </w:rPr>
              <w:t>תיקון חוק כלי היריה</w:t>
            </w:r>
          </w:p>
        </w:tc>
        <w:tc>
          <w:tcPr>
            <w:tcW w:w="624" w:type="dxa"/>
          </w:tcPr>
          <w:p w14:paraId="2208F137" w14:textId="4350F360" w:rsidR="00C25910" w:rsidRDefault="00AA1DE3" w:rsidP="00C25910">
            <w:pPr>
              <w:pStyle w:val="TableText"/>
              <w:rPr>
                <w:rtl/>
              </w:rPr>
            </w:pPr>
            <w:r>
              <w:rPr>
                <w:rFonts w:hint="cs"/>
                <w:rtl/>
              </w:rPr>
              <w:t>9.</w:t>
            </w:r>
          </w:p>
        </w:tc>
        <w:tc>
          <w:tcPr>
            <w:tcW w:w="7143" w:type="dxa"/>
          </w:tcPr>
          <w:p w14:paraId="4C1A85F3" w14:textId="10590803" w:rsidR="00C25910" w:rsidRDefault="003D7CCC" w:rsidP="00C74D12">
            <w:pPr>
              <w:pStyle w:val="TableBlock"/>
              <w:rPr>
                <w:rtl/>
              </w:rPr>
            </w:pPr>
            <w:r>
              <w:rPr>
                <w:rFonts w:hint="cs"/>
                <w:rtl/>
              </w:rPr>
              <w:t>בחוק כלי הירי</w:t>
            </w:r>
            <w:r w:rsidR="00414097">
              <w:rPr>
                <w:rFonts w:hint="cs"/>
                <w:rtl/>
              </w:rPr>
              <w:t>י</w:t>
            </w:r>
            <w:r>
              <w:rPr>
                <w:rFonts w:hint="cs"/>
                <w:rtl/>
              </w:rPr>
              <w:t>ה, התש"ט</w:t>
            </w:r>
            <w:r w:rsidR="004C7712">
              <w:rPr>
                <w:rFonts w:hint="eastAsia"/>
                <w:rtl/>
              </w:rPr>
              <w:t>–</w:t>
            </w:r>
            <w:r>
              <w:rPr>
                <w:rFonts w:hint="cs"/>
                <w:rtl/>
              </w:rPr>
              <w:t>1949</w:t>
            </w:r>
            <w:r>
              <w:rPr>
                <w:rStyle w:val="a5"/>
                <w:rtl/>
              </w:rPr>
              <w:footnoteReference w:id="4"/>
            </w:r>
            <w:r>
              <w:rPr>
                <w:rFonts w:hint="cs"/>
                <w:rtl/>
              </w:rPr>
              <w:t>, בסעיף 10ג(ה)(2), במקום "עניין לציבור" יבוא "הצדקה בנסיבות העניין להעמיד לדין".</w:t>
            </w:r>
          </w:p>
        </w:tc>
      </w:tr>
    </w:tbl>
    <w:p w14:paraId="7F6961CA" w14:textId="1148EDB6" w:rsidR="002D1EE3" w:rsidRDefault="002D1EE3" w:rsidP="002D1EE3">
      <w:pPr>
        <w:pStyle w:val="HeadDivreiHesber"/>
        <w:rPr>
          <w:rtl/>
        </w:rPr>
      </w:pPr>
      <w:r w:rsidRPr="0027450A">
        <w:rPr>
          <w:rFonts w:hint="cs"/>
          <w:rtl/>
        </w:rPr>
        <w:t>דברי הסבר</w:t>
      </w:r>
    </w:p>
    <w:p w14:paraId="4C59A16D" w14:textId="77777777" w:rsidR="000675C0" w:rsidRDefault="002644C7" w:rsidP="004A7E1E">
      <w:pPr>
        <w:pStyle w:val="Hesber"/>
        <w:rPr>
          <w:rtl/>
        </w:rPr>
      </w:pPr>
      <w:r>
        <w:rPr>
          <w:rFonts w:hint="cs"/>
          <w:rtl/>
        </w:rPr>
        <w:t xml:space="preserve">אחת העילות לסגירת תיקים פליליים היא העילה של "העדר עניין לציבור", אשר נקבעת במקרים שונים, לאחר שקלול של נתוני החקירה אל מול האינטרס הציבורי. </w:t>
      </w:r>
    </w:p>
    <w:p w14:paraId="752EEF33" w14:textId="1EBC6D16" w:rsidR="004A7E1E" w:rsidRDefault="00B0547D" w:rsidP="004A7E1E">
      <w:pPr>
        <w:pStyle w:val="Hesber"/>
        <w:rPr>
          <w:rtl/>
        </w:rPr>
      </w:pPr>
      <w:r>
        <w:rPr>
          <w:rFonts w:hint="cs"/>
          <w:rtl/>
        </w:rPr>
        <w:t>במהלך דיוני ועדת החוקה בנושאי</w:t>
      </w:r>
      <w:r w:rsidR="000675C0">
        <w:rPr>
          <w:rFonts w:hint="cs"/>
          <w:rtl/>
        </w:rPr>
        <w:t xml:space="preserve"> זכויות נפגעי עבירה, </w:t>
      </w:r>
      <w:r>
        <w:rPr>
          <w:rFonts w:hint="cs"/>
          <w:rtl/>
        </w:rPr>
        <w:t xml:space="preserve">העידו נפגעים כי מצאו את ההודעה על סגירת תיקם מפאת חוסר </w:t>
      </w:r>
      <w:r w:rsidR="004A7E1E">
        <w:rPr>
          <w:rFonts w:hint="cs"/>
          <w:rtl/>
        </w:rPr>
        <w:t>"</w:t>
      </w:r>
      <w:r>
        <w:rPr>
          <w:rFonts w:hint="cs"/>
          <w:rtl/>
        </w:rPr>
        <w:t>עניין לציבור</w:t>
      </w:r>
      <w:r w:rsidR="004A7E1E">
        <w:rPr>
          <w:rFonts w:hint="cs"/>
          <w:rtl/>
        </w:rPr>
        <w:t xml:space="preserve">" </w:t>
      </w:r>
      <w:r w:rsidR="00C25910">
        <w:rPr>
          <w:rFonts w:hint="cs"/>
          <w:rtl/>
        </w:rPr>
        <w:t>–</w:t>
      </w:r>
      <w:r>
        <w:rPr>
          <w:rFonts w:hint="cs"/>
          <w:rtl/>
        </w:rPr>
        <w:t xml:space="preserve"> פוגענית. </w:t>
      </w:r>
      <w:r w:rsidR="002644C7">
        <w:rPr>
          <w:rFonts w:hint="cs"/>
          <w:rtl/>
        </w:rPr>
        <w:t>המונח "עניין לציבור"</w:t>
      </w:r>
      <w:r w:rsidR="004A7E1E">
        <w:rPr>
          <w:rFonts w:hint="cs"/>
          <w:rtl/>
        </w:rPr>
        <w:t>,</w:t>
      </w:r>
      <w:r w:rsidR="002644C7">
        <w:rPr>
          <w:rFonts w:hint="cs"/>
          <w:rtl/>
        </w:rPr>
        <w:t xml:space="preserve"> </w:t>
      </w:r>
      <w:r w:rsidR="004A7E1E">
        <w:rPr>
          <w:rFonts w:hint="cs"/>
          <w:rtl/>
        </w:rPr>
        <w:t>ה</w:t>
      </w:r>
      <w:r w:rsidR="002644C7">
        <w:rPr>
          <w:rFonts w:hint="cs"/>
          <w:rtl/>
        </w:rPr>
        <w:t xml:space="preserve">נתפס כיום </w:t>
      </w:r>
      <w:r w:rsidR="004A7E1E">
        <w:rPr>
          <w:rFonts w:hint="cs"/>
          <w:rtl/>
        </w:rPr>
        <w:t xml:space="preserve">כהערכה של חשיבות התיק בעיני הציבור, יוצר דימוי שגוי של </w:t>
      </w:r>
      <w:r w:rsidR="000675C0">
        <w:rPr>
          <w:rFonts w:hint="cs"/>
          <w:rtl/>
        </w:rPr>
        <w:t xml:space="preserve">שיקולי </w:t>
      </w:r>
      <w:r w:rsidR="004A7E1E">
        <w:rPr>
          <w:rFonts w:hint="cs"/>
          <w:rtl/>
        </w:rPr>
        <w:t>מערכת האכיפה ואינו משקף שיקולים שונים אשר עשויים לעמוד לעיני מקבלי ההחלטות בתהליך.</w:t>
      </w:r>
    </w:p>
    <w:p w14:paraId="72CBB678" w14:textId="3E1C5160" w:rsidR="004D1A00" w:rsidRDefault="004D1A00" w:rsidP="000675C0">
      <w:pPr>
        <w:pStyle w:val="Hesber"/>
        <w:rPr>
          <w:rtl/>
        </w:rPr>
      </w:pPr>
      <w:r>
        <w:rPr>
          <w:rFonts w:hint="cs"/>
          <w:rtl/>
        </w:rPr>
        <w:t>גם פרקליט המדינה, בהנחיותיו מינואר 2003</w:t>
      </w:r>
      <w:r w:rsidR="004C59F7">
        <w:rPr>
          <w:rFonts w:hint="cs"/>
          <w:rtl/>
        </w:rPr>
        <w:t>,</w:t>
      </w:r>
      <w:r>
        <w:rPr>
          <w:rFonts w:hint="cs"/>
          <w:rtl/>
        </w:rPr>
        <w:t xml:space="preserve"> התייחס לסוגיה וכתב כי "הנוסחה הסטטוטורית </w:t>
      </w:r>
      <w:r>
        <w:rPr>
          <w:rtl/>
        </w:rPr>
        <w:t>–</w:t>
      </w:r>
      <w:r w:rsidR="000675C0">
        <w:rPr>
          <w:rFonts w:hint="cs"/>
          <w:rtl/>
        </w:rPr>
        <w:t xml:space="preserve"> "אין </w:t>
      </w:r>
      <w:r w:rsidR="000675C0">
        <w:rPr>
          <w:rFonts w:hint="cs"/>
          <w:rtl/>
        </w:rPr>
        <w:lastRenderedPageBreak/>
        <w:t>עניין לציבור"</w:t>
      </w:r>
      <w:r>
        <w:rPr>
          <w:rFonts w:hint="cs"/>
          <w:rtl/>
        </w:rPr>
        <w:t>, כאשר היא מופנית לאזרח שהוא חסר השכלה משפטית, יש בה לעתים כדי לקומם ולגרום לאי הבנות מיותרות..." וכי "מתן החלטה מנומקת עשוי להניח את דעת המתלונן ובמקרים רבים הוא גם עשוי למנוע הגשה מיותרת של עררים, המוגשים לא אחת בשל אי הבנת הביטוי "אין עניין לציבור".</w:t>
      </w:r>
      <w:r w:rsidR="004C59F7">
        <w:rPr>
          <w:rFonts w:hint="cs"/>
          <w:rtl/>
        </w:rPr>
        <w:t>"</w:t>
      </w:r>
    </w:p>
    <w:p w14:paraId="7F6961CB" w14:textId="71C6C626" w:rsidR="00E13C27" w:rsidRDefault="000675C0" w:rsidP="00AB6582">
      <w:pPr>
        <w:pStyle w:val="Hesber"/>
        <w:rPr>
          <w:rtl/>
        </w:rPr>
      </w:pPr>
      <w:r>
        <w:rPr>
          <w:rFonts w:hint="cs"/>
          <w:rtl/>
        </w:rPr>
        <w:t xml:space="preserve">יודגש כי </w:t>
      </w:r>
      <w:r w:rsidR="002644C7">
        <w:rPr>
          <w:rFonts w:hint="cs"/>
          <w:rtl/>
        </w:rPr>
        <w:t>הצ</w:t>
      </w:r>
      <w:r>
        <w:rPr>
          <w:rFonts w:hint="cs"/>
          <w:rtl/>
        </w:rPr>
        <w:t>עת החוק מבקשת לשנות את שם העילה</w:t>
      </w:r>
      <w:r w:rsidR="002644C7">
        <w:rPr>
          <w:rFonts w:hint="cs"/>
          <w:rtl/>
        </w:rPr>
        <w:t xml:space="preserve"> על מנת למזער את הפגיעה ברגשות נפגעי העבירה</w:t>
      </w:r>
      <w:r w:rsidR="004A7E1E">
        <w:rPr>
          <w:rFonts w:hint="cs"/>
          <w:rtl/>
        </w:rPr>
        <w:t xml:space="preserve"> תוך שמירה על האינטרס הציבורי</w:t>
      </w:r>
      <w:r>
        <w:rPr>
          <w:rFonts w:hint="cs"/>
          <w:rtl/>
        </w:rPr>
        <w:t>, אך לא מבקשת להשפיע על מהות השיקולים העומדים מאחורי המונח "חוסר עניין לציבור".</w:t>
      </w:r>
    </w:p>
    <w:p w14:paraId="1927CA5B" w14:textId="73C95CBA" w:rsidR="00883620" w:rsidRDefault="00883620" w:rsidP="000675C0">
      <w:pPr>
        <w:pStyle w:val="Hesber"/>
        <w:rPr>
          <w:rtl/>
        </w:rPr>
      </w:pPr>
    </w:p>
    <w:p w14:paraId="44E60DDA" w14:textId="77777777" w:rsidR="00883620" w:rsidRPr="00D73212" w:rsidRDefault="00883620" w:rsidP="00883620">
      <w:pPr>
        <w:pStyle w:val="Hesber"/>
        <w:rPr>
          <w:color w:val="auto"/>
          <w:rtl/>
          <w:lang w:eastAsia="en-US"/>
        </w:rPr>
      </w:pPr>
      <w:r w:rsidRPr="00D73212">
        <w:rPr>
          <w:color w:val="auto"/>
          <w:rtl/>
          <w:lang w:eastAsia="en-US"/>
        </w:rPr>
        <w:t>---------------------------------</w:t>
      </w:r>
    </w:p>
    <w:p w14:paraId="48AE3485" w14:textId="77777777" w:rsidR="00883620" w:rsidRPr="00D73212" w:rsidRDefault="00883620" w:rsidP="00883620">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5E21A15D" w14:textId="77777777" w:rsidR="00883620" w:rsidRPr="00D73212" w:rsidRDefault="00883620" w:rsidP="00883620">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4B385ED3" w14:textId="77777777" w:rsidR="00883620" w:rsidRPr="00317312" w:rsidRDefault="00883620" w:rsidP="00883620">
      <w:pPr>
        <w:pStyle w:val="Hesber"/>
      </w:pPr>
      <w:r>
        <w:rPr>
          <w:rFonts w:hint="cs"/>
          <w:color w:val="auto"/>
          <w:rtl/>
          <w:lang w:eastAsia="en-US"/>
        </w:rPr>
        <w:t>ג' בשבט</w:t>
      </w:r>
      <w:r w:rsidRPr="00D73212">
        <w:rPr>
          <w:color w:val="auto"/>
          <w:rtl/>
          <w:lang w:eastAsia="en-US"/>
        </w:rPr>
        <w:t xml:space="preserve"> </w:t>
      </w:r>
      <w:r w:rsidRPr="00D73212">
        <w:rPr>
          <w:rFonts w:hint="cs"/>
          <w:color w:val="auto"/>
          <w:rtl/>
          <w:lang w:eastAsia="en-US"/>
        </w:rPr>
        <w:t>התשע</w:t>
      </w:r>
      <w:r w:rsidRPr="00D73212">
        <w:rPr>
          <w:color w:val="auto"/>
          <w:rtl/>
          <w:lang w:eastAsia="en-US"/>
        </w:rPr>
        <w:t>"</w:t>
      </w:r>
      <w:r>
        <w:rPr>
          <w:rFonts w:hint="cs"/>
          <w:color w:val="auto"/>
          <w:rtl/>
          <w:lang w:eastAsia="en-US"/>
        </w:rPr>
        <w:t>ז</w:t>
      </w:r>
      <w:r w:rsidRPr="00D73212">
        <w:rPr>
          <w:color w:val="auto"/>
          <w:rtl/>
          <w:lang w:eastAsia="en-US"/>
        </w:rPr>
        <w:t xml:space="preserve"> – </w:t>
      </w:r>
      <w:r>
        <w:rPr>
          <w:rFonts w:hint="cs"/>
          <w:color w:val="auto"/>
          <w:rtl/>
          <w:lang w:eastAsia="en-US"/>
        </w:rPr>
        <w:t>30.1</w:t>
      </w:r>
      <w:r w:rsidRPr="00D73212">
        <w:rPr>
          <w:color w:val="auto"/>
          <w:rtl/>
          <w:lang w:eastAsia="en-US"/>
        </w:rPr>
        <w:t>.</w:t>
      </w:r>
      <w:r>
        <w:rPr>
          <w:rFonts w:hint="cs"/>
          <w:color w:val="auto"/>
          <w:rtl/>
          <w:lang w:eastAsia="en-US"/>
        </w:rPr>
        <w:t>17</w:t>
      </w:r>
    </w:p>
    <w:p w14:paraId="0AEAFBC5" w14:textId="77777777" w:rsidR="00883620" w:rsidRDefault="00883620" w:rsidP="000675C0">
      <w:pPr>
        <w:pStyle w:val="Hesber"/>
        <w:rPr>
          <w:rtl/>
        </w:rPr>
      </w:pPr>
    </w:p>
    <w:sectPr w:rsidR="00883620"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88A69" w14:textId="77777777" w:rsidR="00A942C1" w:rsidRDefault="00A942C1">
      <w:r>
        <w:separator/>
      </w:r>
    </w:p>
  </w:endnote>
  <w:endnote w:type="continuationSeparator" w:id="0">
    <w:p w14:paraId="318F26FB" w14:textId="77777777" w:rsidR="00A942C1" w:rsidRDefault="00A942C1">
      <w:r>
        <w:continuationSeparator/>
      </w:r>
    </w:p>
  </w:endnote>
  <w:endnote w:type="continuationNotice" w:id="1">
    <w:p w14:paraId="6BE48FD5" w14:textId="77777777" w:rsidR="00A942C1" w:rsidRDefault="00A942C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E54352">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7B9F2" w14:textId="77777777" w:rsidR="00A942C1" w:rsidRDefault="00A942C1">
      <w:r>
        <w:separator/>
      </w:r>
    </w:p>
  </w:footnote>
  <w:footnote w:type="continuationSeparator" w:id="0">
    <w:p w14:paraId="3DB92342" w14:textId="77777777" w:rsidR="00A942C1" w:rsidRDefault="00A942C1">
      <w:r>
        <w:continuationSeparator/>
      </w:r>
    </w:p>
  </w:footnote>
  <w:footnote w:type="continuationNotice" w:id="1">
    <w:p w14:paraId="16009878" w14:textId="77777777" w:rsidR="00A942C1" w:rsidRDefault="00A942C1"/>
  </w:footnote>
  <w:footnote w:id="2">
    <w:p w14:paraId="4E08158C" w14:textId="0B8D6373" w:rsidR="00C25910" w:rsidRDefault="00C25910">
      <w:pPr>
        <w:pStyle w:val="a4"/>
      </w:pPr>
      <w:r>
        <w:rPr>
          <w:rStyle w:val="a5"/>
        </w:rPr>
        <w:footnoteRef/>
      </w:r>
      <w:r>
        <w:rPr>
          <w:rtl/>
        </w:rPr>
        <w:t xml:space="preserve"> </w:t>
      </w:r>
      <w:r w:rsidR="009C2356">
        <w:rPr>
          <w:rFonts w:hint="cs"/>
          <w:rtl/>
        </w:rPr>
        <w:t>ס"ח התשמ"ב, עמ' 43.</w:t>
      </w:r>
    </w:p>
  </w:footnote>
  <w:footnote w:id="3">
    <w:p w14:paraId="69C91E78" w14:textId="0A3268A8" w:rsidR="003D7CCC" w:rsidRDefault="003D7CCC">
      <w:pPr>
        <w:pStyle w:val="a4"/>
      </w:pPr>
      <w:r>
        <w:rPr>
          <w:rStyle w:val="a5"/>
        </w:rPr>
        <w:footnoteRef/>
      </w:r>
      <w:r>
        <w:rPr>
          <w:rtl/>
        </w:rPr>
        <w:t xml:space="preserve"> </w:t>
      </w:r>
      <w:r>
        <w:rPr>
          <w:rFonts w:hint="cs"/>
          <w:rtl/>
        </w:rPr>
        <w:t>ס"ח התשנ"א, עמ' 58.</w:t>
      </w:r>
    </w:p>
  </w:footnote>
  <w:footnote w:id="4">
    <w:p w14:paraId="6EA460AD" w14:textId="59CC2ABE" w:rsidR="003D7CCC" w:rsidRDefault="003D7CCC">
      <w:pPr>
        <w:pStyle w:val="a4"/>
      </w:pPr>
      <w:r>
        <w:rPr>
          <w:rStyle w:val="a5"/>
        </w:rPr>
        <w:footnoteRef/>
      </w:r>
      <w:r>
        <w:rPr>
          <w:rtl/>
        </w:rPr>
        <w:t xml:space="preserve"> </w:t>
      </w:r>
      <w:r>
        <w:rPr>
          <w:rFonts w:hint="cs"/>
          <w:rtl/>
        </w:rPr>
        <w:t>ס"ח התש"ט, עמ' 143.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414173"/>
    <w:multiLevelType w:val="hybridMultilevel"/>
    <w:tmpl w:val="F0E66A40"/>
    <w:lvl w:ilvl="0" w:tplc="06B6EE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D6D4D34"/>
    <w:multiLevelType w:val="hybridMultilevel"/>
    <w:tmpl w:val="1F066C94"/>
    <w:lvl w:ilvl="0" w:tplc="F72261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605EC3"/>
    <w:multiLevelType w:val="hybridMultilevel"/>
    <w:tmpl w:val="15C80AB0"/>
    <w:lvl w:ilvl="0" w:tplc="46F22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4B0327"/>
    <w:multiLevelType w:val="hybridMultilevel"/>
    <w:tmpl w:val="03CC2230"/>
    <w:lvl w:ilvl="0" w:tplc="12F817F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9162B4"/>
    <w:multiLevelType w:val="hybridMultilevel"/>
    <w:tmpl w:val="052A69BE"/>
    <w:lvl w:ilvl="0" w:tplc="116E1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4B0190"/>
    <w:multiLevelType w:val="hybridMultilevel"/>
    <w:tmpl w:val="81981572"/>
    <w:lvl w:ilvl="0" w:tplc="6448BA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835DA7"/>
    <w:multiLevelType w:val="hybridMultilevel"/>
    <w:tmpl w:val="3074374A"/>
    <w:lvl w:ilvl="0" w:tplc="0B66BB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E57505"/>
    <w:multiLevelType w:val="hybridMultilevel"/>
    <w:tmpl w:val="25463AFA"/>
    <w:lvl w:ilvl="0" w:tplc="BA9EC2B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58CF5814"/>
    <w:multiLevelType w:val="hybridMultilevel"/>
    <w:tmpl w:val="61F8F720"/>
    <w:lvl w:ilvl="0" w:tplc="09DA3AB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60F5C00"/>
    <w:multiLevelType w:val="hybridMultilevel"/>
    <w:tmpl w:val="C8C858FE"/>
    <w:lvl w:ilvl="0" w:tplc="480427B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7B8A3404"/>
    <w:multiLevelType w:val="hybridMultilevel"/>
    <w:tmpl w:val="5358AEE4"/>
    <w:lvl w:ilvl="0" w:tplc="B1C2D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1"/>
  </w:num>
  <w:num w:numId="13">
    <w:abstractNumId w:val="14"/>
  </w:num>
  <w:num w:numId="14">
    <w:abstractNumId w:val="22"/>
  </w:num>
  <w:num w:numId="15">
    <w:abstractNumId w:val="17"/>
  </w:num>
  <w:num w:numId="16">
    <w:abstractNumId w:val="18"/>
  </w:num>
  <w:num w:numId="17">
    <w:abstractNumId w:val="24"/>
  </w:num>
  <w:num w:numId="18">
    <w:abstractNumId w:val="11"/>
  </w:num>
  <w:num w:numId="19">
    <w:abstractNumId w:val="12"/>
  </w:num>
  <w:num w:numId="20">
    <w:abstractNumId w:val="10"/>
  </w:num>
  <w:num w:numId="21">
    <w:abstractNumId w:val="16"/>
  </w:num>
  <w:num w:numId="22">
    <w:abstractNumId w:val="20"/>
  </w:num>
  <w:num w:numId="23">
    <w:abstractNumId w:val="19"/>
  </w:num>
  <w:num w:numId="24">
    <w:abstractNumId w:val="13"/>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riginalName" w:val="tmp482240lsCopyOriginal.docx"/>
    <w:docVar w:name="StartMode" w:val="2"/>
  </w:docVars>
  <w:rsids>
    <w:rsidRoot w:val="00DB7060"/>
    <w:rsid w:val="0000131B"/>
    <w:rsid w:val="00015B27"/>
    <w:rsid w:val="00063A3E"/>
    <w:rsid w:val="000675C0"/>
    <w:rsid w:val="00072CAC"/>
    <w:rsid w:val="0007681A"/>
    <w:rsid w:val="000A542E"/>
    <w:rsid w:val="00102B6B"/>
    <w:rsid w:val="001052D4"/>
    <w:rsid w:val="0010644B"/>
    <w:rsid w:val="001207F8"/>
    <w:rsid w:val="00121924"/>
    <w:rsid w:val="001279A8"/>
    <w:rsid w:val="0014195F"/>
    <w:rsid w:val="00152609"/>
    <w:rsid w:val="00153E1B"/>
    <w:rsid w:val="00183A01"/>
    <w:rsid w:val="001A0623"/>
    <w:rsid w:val="001C23B0"/>
    <w:rsid w:val="001D7AAF"/>
    <w:rsid w:val="00203A7F"/>
    <w:rsid w:val="0021633A"/>
    <w:rsid w:val="002200A1"/>
    <w:rsid w:val="002362BF"/>
    <w:rsid w:val="00241B97"/>
    <w:rsid w:val="002425D1"/>
    <w:rsid w:val="00246756"/>
    <w:rsid w:val="00251E58"/>
    <w:rsid w:val="00254605"/>
    <w:rsid w:val="002644C7"/>
    <w:rsid w:val="00266D86"/>
    <w:rsid w:val="002728B4"/>
    <w:rsid w:val="0027600C"/>
    <w:rsid w:val="00292712"/>
    <w:rsid w:val="002A487D"/>
    <w:rsid w:val="002C2E29"/>
    <w:rsid w:val="002C3041"/>
    <w:rsid w:val="002D1EE3"/>
    <w:rsid w:val="002F1D80"/>
    <w:rsid w:val="003232A2"/>
    <w:rsid w:val="00325C14"/>
    <w:rsid w:val="0036422C"/>
    <w:rsid w:val="003710F6"/>
    <w:rsid w:val="00374F71"/>
    <w:rsid w:val="00386E88"/>
    <w:rsid w:val="00396585"/>
    <w:rsid w:val="003D26D7"/>
    <w:rsid w:val="003D6E38"/>
    <w:rsid w:val="003D74A0"/>
    <w:rsid w:val="003D7CCC"/>
    <w:rsid w:val="004033D8"/>
    <w:rsid w:val="004073F0"/>
    <w:rsid w:val="00412A7D"/>
    <w:rsid w:val="00414097"/>
    <w:rsid w:val="00416B4D"/>
    <w:rsid w:val="00417CFC"/>
    <w:rsid w:val="00440004"/>
    <w:rsid w:val="004A06DC"/>
    <w:rsid w:val="004A7E1E"/>
    <w:rsid w:val="004B24ED"/>
    <w:rsid w:val="004B6625"/>
    <w:rsid w:val="004C59F7"/>
    <w:rsid w:val="004C7712"/>
    <w:rsid w:val="004D1A00"/>
    <w:rsid w:val="004D2D82"/>
    <w:rsid w:val="004D3876"/>
    <w:rsid w:val="004E4552"/>
    <w:rsid w:val="004E6CDF"/>
    <w:rsid w:val="00543987"/>
    <w:rsid w:val="00553C9D"/>
    <w:rsid w:val="00562A66"/>
    <w:rsid w:val="005B064E"/>
    <w:rsid w:val="005D3DB1"/>
    <w:rsid w:val="005D51AE"/>
    <w:rsid w:val="0062674B"/>
    <w:rsid w:val="006363B2"/>
    <w:rsid w:val="00644940"/>
    <w:rsid w:val="006818A9"/>
    <w:rsid w:val="006A24A9"/>
    <w:rsid w:val="006A2D81"/>
    <w:rsid w:val="006C1D0D"/>
    <w:rsid w:val="0070601E"/>
    <w:rsid w:val="00712C72"/>
    <w:rsid w:val="0072457A"/>
    <w:rsid w:val="00735FE9"/>
    <w:rsid w:val="00763CAA"/>
    <w:rsid w:val="00765F66"/>
    <w:rsid w:val="0078664F"/>
    <w:rsid w:val="007C3FA6"/>
    <w:rsid w:val="007D585A"/>
    <w:rsid w:val="007D5A12"/>
    <w:rsid w:val="007E59F9"/>
    <w:rsid w:val="00810BCD"/>
    <w:rsid w:val="00812C98"/>
    <w:rsid w:val="00814D92"/>
    <w:rsid w:val="0083181D"/>
    <w:rsid w:val="00843EB2"/>
    <w:rsid w:val="00865572"/>
    <w:rsid w:val="00874BBC"/>
    <w:rsid w:val="00883620"/>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C2356"/>
    <w:rsid w:val="009D6E0A"/>
    <w:rsid w:val="009E1E33"/>
    <w:rsid w:val="00A14672"/>
    <w:rsid w:val="00A26BD6"/>
    <w:rsid w:val="00A443CF"/>
    <w:rsid w:val="00A6611D"/>
    <w:rsid w:val="00A82CB7"/>
    <w:rsid w:val="00A942C1"/>
    <w:rsid w:val="00AA1DE3"/>
    <w:rsid w:val="00AA2F03"/>
    <w:rsid w:val="00AB6582"/>
    <w:rsid w:val="00AC36F7"/>
    <w:rsid w:val="00AC63A4"/>
    <w:rsid w:val="00AD239E"/>
    <w:rsid w:val="00B0547D"/>
    <w:rsid w:val="00B10265"/>
    <w:rsid w:val="00B16A99"/>
    <w:rsid w:val="00B21211"/>
    <w:rsid w:val="00B35784"/>
    <w:rsid w:val="00B733A7"/>
    <w:rsid w:val="00B75C91"/>
    <w:rsid w:val="00B975AD"/>
    <w:rsid w:val="00BC45FB"/>
    <w:rsid w:val="00BF148D"/>
    <w:rsid w:val="00C23B1A"/>
    <w:rsid w:val="00C25910"/>
    <w:rsid w:val="00C310EB"/>
    <w:rsid w:val="00C74D12"/>
    <w:rsid w:val="00C9176A"/>
    <w:rsid w:val="00CF1AA2"/>
    <w:rsid w:val="00D17774"/>
    <w:rsid w:val="00D20343"/>
    <w:rsid w:val="00D63620"/>
    <w:rsid w:val="00D8410D"/>
    <w:rsid w:val="00D867D7"/>
    <w:rsid w:val="00DB7060"/>
    <w:rsid w:val="00DC02CC"/>
    <w:rsid w:val="00DE3153"/>
    <w:rsid w:val="00E06736"/>
    <w:rsid w:val="00E13C27"/>
    <w:rsid w:val="00E33BBD"/>
    <w:rsid w:val="00E374F2"/>
    <w:rsid w:val="00E45103"/>
    <w:rsid w:val="00E54352"/>
    <w:rsid w:val="00E55A60"/>
    <w:rsid w:val="00E62778"/>
    <w:rsid w:val="00E63D38"/>
    <w:rsid w:val="00E665B9"/>
    <w:rsid w:val="00EA01E6"/>
    <w:rsid w:val="00EA3DE8"/>
    <w:rsid w:val="00EA758F"/>
    <w:rsid w:val="00ED4A6F"/>
    <w:rsid w:val="00EF3A3A"/>
    <w:rsid w:val="00F41610"/>
    <w:rsid w:val="00F628D6"/>
    <w:rsid w:val="00F67051"/>
    <w:rsid w:val="00F86A1E"/>
    <w:rsid w:val="00FA5E88"/>
    <w:rsid w:val="00FC72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E7CC2A52-7C30-40EF-A06A-B08F5CE6E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5910"/>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C25910"/>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C25910"/>
    <w:rPr>
      <w:sz w:val="36"/>
      <w:szCs w:val="52"/>
    </w:rPr>
  </w:style>
  <w:style w:type="paragraph" w:customStyle="1" w:styleId="Cover3-Haknesset">
    <w:name w:val="Cover 3-Haknesset"/>
    <w:basedOn w:val="Cover1-Reshumot"/>
    <w:rsid w:val="00C25910"/>
    <w:rPr>
      <w:b/>
      <w:bCs/>
      <w:spacing w:val="60"/>
    </w:rPr>
  </w:style>
  <w:style w:type="paragraph" w:customStyle="1" w:styleId="Cover4-Date">
    <w:name w:val="Cover 4-Date"/>
    <w:basedOn w:val="a"/>
    <w:rsid w:val="00C25910"/>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C25910"/>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C25910"/>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C25910"/>
    <w:pPr>
      <w:spacing w:before="120" w:after="120"/>
    </w:pPr>
    <w:rPr>
      <w:color w:val="FF0000"/>
      <w:w w:val="80"/>
    </w:rPr>
  </w:style>
  <w:style w:type="paragraph" w:styleId="a3">
    <w:name w:val="endnote text"/>
    <w:basedOn w:val="a"/>
    <w:semiHidden/>
    <w:rsid w:val="00C25910"/>
    <w:pPr>
      <w:ind w:left="227" w:hanging="227"/>
    </w:pPr>
    <w:rPr>
      <w:sz w:val="14"/>
      <w:szCs w:val="22"/>
    </w:rPr>
  </w:style>
  <w:style w:type="paragraph" w:customStyle="1" w:styleId="TableText">
    <w:name w:val="Table Text"/>
    <w:basedOn w:val="a"/>
    <w:rsid w:val="00C25910"/>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C25910"/>
  </w:style>
  <w:style w:type="paragraph" w:customStyle="1" w:styleId="TableBlock">
    <w:name w:val="Table Block"/>
    <w:basedOn w:val="TableText"/>
    <w:rsid w:val="00C25910"/>
    <w:pPr>
      <w:ind w:right="0"/>
      <w:jc w:val="both"/>
    </w:pPr>
  </w:style>
  <w:style w:type="paragraph" w:customStyle="1" w:styleId="TableHead">
    <w:name w:val="Table Head"/>
    <w:basedOn w:val="TableText"/>
    <w:rsid w:val="00C25910"/>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C25910"/>
  </w:style>
  <w:style w:type="paragraph" w:customStyle="1" w:styleId="Hesber">
    <w:name w:val="Hesber"/>
    <w:basedOn w:val="a"/>
    <w:rsid w:val="00C25910"/>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C25910"/>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aliases w:val="Footnote Reference"/>
    <w:basedOn w:val="a0"/>
    <w:semiHidden/>
    <w:rsid w:val="00C25910"/>
    <w:rPr>
      <w:vertAlign w:val="superscript"/>
    </w:rPr>
  </w:style>
  <w:style w:type="paragraph" w:customStyle="1" w:styleId="HesberHeading">
    <w:name w:val="Hesber Heading"/>
    <w:basedOn w:val="Hesber"/>
    <w:rsid w:val="00C25910"/>
    <w:pPr>
      <w:tabs>
        <w:tab w:val="left" w:pos="624"/>
        <w:tab w:val="left" w:pos="1247"/>
      </w:tabs>
      <w:ind w:firstLine="0"/>
    </w:pPr>
    <w:rPr>
      <w:b/>
      <w:bCs/>
    </w:rPr>
  </w:style>
  <w:style w:type="paragraph" w:customStyle="1" w:styleId="HesberWriters">
    <w:name w:val="Hesber Writers"/>
    <w:basedOn w:val="Hesber"/>
    <w:rsid w:val="00C25910"/>
    <w:pPr>
      <w:spacing w:before="120" w:after="6000"/>
      <w:ind w:left="1418" w:firstLine="0"/>
      <w:jc w:val="right"/>
    </w:pPr>
    <w:rPr>
      <w:b/>
      <w:bCs/>
    </w:rPr>
  </w:style>
  <w:style w:type="paragraph" w:customStyle="1" w:styleId="Hesber1st">
    <w:name w:val="Hesber 1st"/>
    <w:basedOn w:val="Hesber"/>
    <w:rsid w:val="00C25910"/>
    <w:pPr>
      <w:tabs>
        <w:tab w:val="left" w:pos="680"/>
        <w:tab w:val="left" w:pos="1020"/>
      </w:tabs>
      <w:ind w:firstLine="0"/>
    </w:pPr>
  </w:style>
  <w:style w:type="character" w:styleId="a6">
    <w:name w:val="endnote reference"/>
    <w:basedOn w:val="a0"/>
    <w:semiHidden/>
    <w:rsid w:val="00C25910"/>
    <w:rPr>
      <w:vertAlign w:val="superscript"/>
    </w:rPr>
  </w:style>
  <w:style w:type="paragraph" w:customStyle="1" w:styleId="TableBlockOutdent">
    <w:name w:val="Table BlockOutdent"/>
    <w:basedOn w:val="TableBlock"/>
    <w:rsid w:val="00C25910"/>
    <w:pPr>
      <w:ind w:left="624" w:hanging="624"/>
    </w:pPr>
  </w:style>
  <w:style w:type="paragraph" w:styleId="a7">
    <w:name w:val="header"/>
    <w:basedOn w:val="a"/>
    <w:rsid w:val="00C25910"/>
    <w:pPr>
      <w:tabs>
        <w:tab w:val="center" w:pos="4153"/>
        <w:tab w:val="right" w:pos="8306"/>
      </w:tabs>
    </w:pPr>
  </w:style>
  <w:style w:type="paragraph" w:styleId="a8">
    <w:name w:val="footer"/>
    <w:basedOn w:val="a"/>
    <w:rsid w:val="00C25910"/>
    <w:pPr>
      <w:tabs>
        <w:tab w:val="center" w:pos="4153"/>
        <w:tab w:val="right" w:pos="8306"/>
      </w:tabs>
    </w:pPr>
  </w:style>
  <w:style w:type="paragraph" w:customStyle="1" w:styleId="HeadDivreiHesber">
    <w:name w:val="Head DivreiHesber"/>
    <w:basedOn w:val="a"/>
    <w:rsid w:val="00C25910"/>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C25910"/>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C25910"/>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E1216-90FC-464E-A495-B743E68A2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purl.org/dc/dcmitype/"/>
    <ds:schemaRef ds:uri="http://purl.org/dc/terms/"/>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7C8EA871-FEA9-481C-BF8E-F0F70D2F7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Pages>
  <Words>532</Words>
  <Characters>2660</Characters>
  <Application>Microsoft Office Word</Application>
  <DocSecurity>0</DocSecurity>
  <Lines>22</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18</cp:revision>
  <cp:lastPrinted>2017-01-25T14:28:00Z</cp:lastPrinted>
  <dcterms:created xsi:type="dcterms:W3CDTF">2015-04-20T09:58:00Z</dcterms:created>
  <dcterms:modified xsi:type="dcterms:W3CDTF">2017-01-25T14:38:00Z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2007196</vt:r8>
  </property>
</Properties>
</file>