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02F18" w14:textId="77777777" w:rsidR="001E4986" w:rsidRPr="0000131B" w:rsidRDefault="001E4986" w:rsidP="001E4986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2005329</w:t>
      </w:r>
      <w:bookmarkEnd w:id="0"/>
    </w:p>
    <w:p w14:paraId="067B997E" w14:textId="77777777" w:rsidR="001E4986" w:rsidRPr="00DB7060" w:rsidRDefault="001E4986" w:rsidP="001E4986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4EBC2E4B" w14:textId="77777777" w:rsidR="001E4986" w:rsidRPr="00F67051" w:rsidRDefault="001E4986" w:rsidP="001E4986">
      <w:pPr>
        <w:rPr>
          <w:rFonts w:cs="David"/>
          <w:b/>
          <w:bCs/>
          <w:sz w:val="26"/>
          <w:szCs w:val="26"/>
          <w:rtl/>
        </w:rPr>
      </w:pPr>
    </w:p>
    <w:p w14:paraId="1B5D4F39" w14:textId="596C4AD0" w:rsidR="001E4986" w:rsidRPr="00CF1AA2" w:rsidRDefault="001E4986" w:rsidP="00AB7BDC">
      <w:pPr>
        <w:pStyle w:val="David"/>
        <w:spacing w:line="360" w:lineRule="auto"/>
        <w:ind w:left="3544"/>
        <w:rPr>
          <w:b/>
          <w:bCs/>
          <w:sz w:val="16"/>
          <w:szCs w:val="16"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מרדכי יוגב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שרן השכל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נורית קורן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שולי מועלם-רפאלי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אברהם נגוסה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בצלאל סמוטריץ'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אמיר אוחנה</w:t>
      </w:r>
      <w:bookmarkStart w:id="4" w:name="LGS_Join_List"/>
      <w:bookmarkEnd w:id="3"/>
      <w:r>
        <w:rPr>
          <w:rtl/>
        </w:rPr>
        <w:t xml:space="preserve"> </w:t>
      </w:r>
      <w:bookmarkEnd w:id="4"/>
      <w:r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65B4F9CC" w14:textId="77777777" w:rsidR="001E4986" w:rsidRPr="00904591" w:rsidRDefault="001E4986" w:rsidP="001E4986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______________________________________________</w:t>
      </w:r>
      <w:r w:rsidRPr="00E06736">
        <w:tab/>
      </w:r>
      <w:r w:rsidRPr="00E06736">
        <w:rPr>
          <w:rFonts w:hint="cs"/>
          <w:rtl/>
        </w:rPr>
        <w:tab/>
      </w:r>
      <w:r w:rsidRPr="00E06736">
        <w:rPr>
          <w:rFonts w:hint="cs"/>
          <w:rtl/>
        </w:rPr>
        <w:tab/>
      </w:r>
      <w:r w:rsidRPr="00E06736">
        <w:rPr>
          <w:rFonts w:hint="cs"/>
          <w:rtl/>
        </w:rPr>
        <w:tab/>
      </w:r>
      <w:r>
        <w:t xml:space="preserve">           </w:t>
      </w:r>
    </w:p>
    <w:p w14:paraId="6ADFFADF" w14:textId="77777777" w:rsidR="001E4986" w:rsidRPr="00E06736" w:rsidRDefault="001E4986" w:rsidP="001E4986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 </w:t>
      </w:r>
      <w:bookmarkStart w:id="6" w:name="Private_Number"/>
      <w:r>
        <w:rPr>
          <w:rFonts w:hint="cs"/>
          <w:rtl/>
        </w:rPr>
        <w:t>פ/3458/20</w:t>
      </w:r>
      <w:bookmarkEnd w:id="6"/>
    </w:p>
    <w:p w14:paraId="2827B0D7" w14:textId="77777777" w:rsidR="001E4986" w:rsidRPr="00BB46BD" w:rsidRDefault="001E4986" w:rsidP="001E4986">
      <w:pPr>
        <w:pStyle w:val="HeadHatzaotHok"/>
        <w:spacing w:after="240"/>
      </w:pPr>
      <w:bookmarkStart w:id="7" w:name="LGS_Subject"/>
      <w:r>
        <w:rPr>
          <w:rFonts w:hint="cs"/>
          <w:rtl/>
        </w:rPr>
        <w:t>הצעת חוק גירוש משפחות מפגעים על רקע לאומני, התשע''ז–2016</w:t>
      </w:r>
      <w:bookmarkEnd w:id="7"/>
    </w:p>
    <w:tbl>
      <w:tblPr>
        <w:bidiVisual/>
        <w:tblW w:w="9638" w:type="dxa"/>
        <w:tblInd w:w="1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624"/>
        <w:gridCol w:w="7144"/>
      </w:tblGrid>
      <w:tr w:rsidR="001E4986" w14:paraId="0C6855BD" w14:textId="77777777" w:rsidTr="00076748">
        <w:trPr>
          <w:cantSplit/>
        </w:trPr>
        <w:tc>
          <w:tcPr>
            <w:tcW w:w="1870" w:type="dxa"/>
            <w:hideMark/>
          </w:tcPr>
          <w:p w14:paraId="49DFCFC2" w14:textId="77777777" w:rsidR="001E4986" w:rsidRDefault="001E4986" w:rsidP="00076748">
            <w:pPr>
              <w:pStyle w:val="TableSideHeading"/>
              <w:ind w:right="0"/>
              <w:rPr>
                <w:rtl/>
              </w:rPr>
            </w:pPr>
            <w:r>
              <w:rPr>
                <w:rFonts w:hint="cs"/>
                <w:rtl/>
              </w:rPr>
              <w:t>הוראות לעניין ביצוע צו צמצום, צו הגבלה או צו לתיחום מקום מגורים</w:t>
            </w:r>
          </w:p>
        </w:tc>
        <w:tc>
          <w:tcPr>
            <w:tcW w:w="624" w:type="dxa"/>
            <w:hideMark/>
          </w:tcPr>
          <w:p w14:paraId="2A32179A" w14:textId="77777777" w:rsidR="001E4986" w:rsidRDefault="001E4986" w:rsidP="00076748">
            <w:pPr>
              <w:pStyle w:val="TableText"/>
              <w:keepLines w:val="0"/>
              <w:spacing w:line="240" w:lineRule="auto"/>
              <w:jc w:val="both"/>
            </w:pPr>
            <w:r>
              <w:rPr>
                <w:rFonts w:hint="cs"/>
                <w:sz w:val="26"/>
                <w:rtl/>
              </w:rPr>
              <w:t>1.</w:t>
            </w:r>
          </w:p>
        </w:tc>
        <w:tc>
          <w:tcPr>
            <w:tcW w:w="7144" w:type="dxa"/>
          </w:tcPr>
          <w:p w14:paraId="5EC0256B" w14:textId="77777777" w:rsidR="001E4986" w:rsidRDefault="001E4986" w:rsidP="00076748">
            <w:pPr>
              <w:pStyle w:val="TableBlock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נתן מפקד צבאי, לפי כל דין, צו צמצום, צו הגבלה או צו לתיחום מקום מגורים, בנסיבות המפורטות להלן, יבוצע הצו בתוך שבעה ימים:</w:t>
            </w:r>
          </w:p>
        </w:tc>
      </w:tr>
      <w:tr w:rsidR="001E4986" w14:paraId="4FE5973F" w14:textId="77777777" w:rsidTr="00076748">
        <w:tblPrEx>
          <w:tblLook w:val="01E0" w:firstRow="1" w:lastRow="1" w:firstColumn="1" w:lastColumn="1" w:noHBand="0" w:noVBand="0"/>
        </w:tblPrEx>
        <w:trPr>
          <w:cantSplit/>
          <w:trHeight w:val="60"/>
        </w:trPr>
        <w:tc>
          <w:tcPr>
            <w:tcW w:w="1870" w:type="dxa"/>
          </w:tcPr>
          <w:p w14:paraId="19ADDB4D" w14:textId="77777777" w:rsidR="001E4986" w:rsidRDefault="001E4986" w:rsidP="00076748">
            <w:pPr>
              <w:pStyle w:val="TableSideHeading"/>
            </w:pPr>
          </w:p>
        </w:tc>
        <w:tc>
          <w:tcPr>
            <w:tcW w:w="624" w:type="dxa"/>
          </w:tcPr>
          <w:p w14:paraId="3DC2CFD2" w14:textId="77777777" w:rsidR="001E4986" w:rsidRDefault="001E4986" w:rsidP="00076748">
            <w:pPr>
              <w:pStyle w:val="TableText"/>
            </w:pPr>
          </w:p>
        </w:tc>
        <w:tc>
          <w:tcPr>
            <w:tcW w:w="7144" w:type="dxa"/>
          </w:tcPr>
          <w:p w14:paraId="75AB83A0" w14:textId="77777777" w:rsidR="001E4986" w:rsidRDefault="001E4986" w:rsidP="00076748">
            <w:pPr>
              <w:pStyle w:val="TableBlock"/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הצו ניתן לקרוב משפחתו מדרגה ראשונה של אדם שהרג אדם אחר על רקע לאומני, או שניסה להרוג אדם כאמור;</w:t>
            </w:r>
          </w:p>
        </w:tc>
      </w:tr>
      <w:tr w:rsidR="001E4986" w14:paraId="7EF3D6D4" w14:textId="77777777" w:rsidTr="00076748">
        <w:tblPrEx>
          <w:tblLook w:val="01E0" w:firstRow="1" w:lastRow="1" w:firstColumn="1" w:lastColumn="1" w:noHBand="0" w:noVBand="0"/>
        </w:tblPrEx>
        <w:trPr>
          <w:cantSplit/>
          <w:trHeight w:val="60"/>
        </w:trPr>
        <w:tc>
          <w:tcPr>
            <w:tcW w:w="1870" w:type="dxa"/>
          </w:tcPr>
          <w:p w14:paraId="35E82B1F" w14:textId="77777777" w:rsidR="001E4986" w:rsidRDefault="001E4986" w:rsidP="00076748">
            <w:pPr>
              <w:pStyle w:val="TableSideHeading"/>
            </w:pPr>
          </w:p>
        </w:tc>
        <w:tc>
          <w:tcPr>
            <w:tcW w:w="624" w:type="dxa"/>
          </w:tcPr>
          <w:p w14:paraId="26CB18EF" w14:textId="77777777" w:rsidR="001E4986" w:rsidRDefault="001E4986" w:rsidP="00076748">
            <w:pPr>
              <w:pStyle w:val="TableText"/>
            </w:pPr>
          </w:p>
        </w:tc>
        <w:tc>
          <w:tcPr>
            <w:tcW w:w="7144" w:type="dxa"/>
          </w:tcPr>
          <w:p w14:paraId="5888460A" w14:textId="77777777" w:rsidR="001E4986" w:rsidRDefault="001E4986" w:rsidP="00076748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קרוב המשפחה עודד את המעשה או לא מנע אותו.</w:t>
            </w:r>
          </w:p>
        </w:tc>
      </w:tr>
    </w:tbl>
    <w:p w14:paraId="6B85841D" w14:textId="77777777" w:rsidR="001E4986" w:rsidRDefault="001E4986" w:rsidP="001E4986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7C2A4B89" w14:textId="7C8A7E19" w:rsidR="001E4986" w:rsidRPr="008A7CEB" w:rsidRDefault="001E4986" w:rsidP="00AB7BDC">
      <w:pPr>
        <w:pStyle w:val="Hesber"/>
        <w:spacing w:line="276" w:lineRule="auto"/>
        <w:rPr>
          <w:rtl/>
        </w:rPr>
      </w:pPr>
      <w:r w:rsidRPr="008A7CEB">
        <w:rPr>
          <w:rtl/>
        </w:rPr>
        <w:t>ההר</w:t>
      </w:r>
      <w:r w:rsidR="008A7CEB" w:rsidRPr="008A7CEB">
        <w:rPr>
          <w:rtl/>
        </w:rPr>
        <w:t xml:space="preserve">תעה היא אבן יסוד בביטחון ישראל </w:t>
      </w:r>
      <w:r w:rsidRPr="008A7CEB">
        <w:rPr>
          <w:rtl/>
        </w:rPr>
        <w:t xml:space="preserve">כדרך להצלת חיים ושמירה על החוק והסדר. </w:t>
      </w:r>
      <w:r w:rsidRPr="008A7CEB">
        <w:rPr>
          <w:rFonts w:hint="cs"/>
          <w:rtl/>
        </w:rPr>
        <w:t>הצעד המתבקש</w:t>
      </w:r>
      <w:r w:rsidR="008A7CEB" w:rsidRPr="008A7CEB">
        <w:rPr>
          <w:rFonts w:hint="cs"/>
          <w:rtl/>
        </w:rPr>
        <w:t xml:space="preserve"> בהצעת חוק זו</w:t>
      </w:r>
      <w:r w:rsidRPr="008A7CEB">
        <w:rPr>
          <w:rFonts w:hint="cs"/>
          <w:rtl/>
        </w:rPr>
        <w:t xml:space="preserve"> </w:t>
      </w:r>
      <w:r w:rsidRPr="008A7CEB">
        <w:rPr>
          <w:rtl/>
        </w:rPr>
        <w:t>הוכח כמרתיע, מצמצ</w:t>
      </w:r>
      <w:r w:rsidRPr="008A7CEB">
        <w:rPr>
          <w:rFonts w:hint="cs"/>
          <w:rtl/>
        </w:rPr>
        <w:t>ם</w:t>
      </w:r>
      <w:r w:rsidRPr="008A7CEB">
        <w:rPr>
          <w:rtl/>
        </w:rPr>
        <w:t xml:space="preserve"> את הפיגועים הבאים</w:t>
      </w:r>
      <w:r w:rsidRPr="008A7CEB">
        <w:rPr>
          <w:rFonts w:hint="cs"/>
          <w:rtl/>
        </w:rPr>
        <w:t>,</w:t>
      </w:r>
      <w:r w:rsidRPr="008A7CEB">
        <w:rPr>
          <w:rtl/>
        </w:rPr>
        <w:t xml:space="preserve"> ובכך מציל חיים. </w:t>
      </w:r>
    </w:p>
    <w:p w14:paraId="7DA0C279" w14:textId="240DB074" w:rsidR="001E4986" w:rsidRPr="008A7CEB" w:rsidRDefault="001E4986" w:rsidP="00AB7BDC">
      <w:pPr>
        <w:pStyle w:val="Hesber"/>
        <w:spacing w:line="276" w:lineRule="auto"/>
        <w:rPr>
          <w:rtl/>
        </w:rPr>
      </w:pPr>
      <w:r w:rsidRPr="008A7CEB">
        <w:rPr>
          <w:rFonts w:hint="cs"/>
          <w:rtl/>
        </w:rPr>
        <w:t>בגירוש מיידי של משפחת המחבל הרוצח</w:t>
      </w:r>
      <w:r w:rsidRPr="008A7CEB">
        <w:rPr>
          <w:rtl/>
        </w:rPr>
        <w:t xml:space="preserve"> יש הרתעה והיא מצילת חיים</w:t>
      </w:r>
      <w:r w:rsidRPr="008A7CEB">
        <w:rPr>
          <w:rFonts w:hint="cs"/>
          <w:rtl/>
        </w:rPr>
        <w:t>.</w:t>
      </w:r>
      <w:r w:rsidRPr="008A7CEB">
        <w:rPr>
          <w:rtl/>
        </w:rPr>
        <w:t xml:space="preserve"> אך </w:t>
      </w:r>
      <w:r w:rsidR="008A7CEB">
        <w:rPr>
          <w:rFonts w:hint="cs"/>
          <w:rtl/>
        </w:rPr>
        <w:t>כש</w:t>
      </w:r>
      <w:r w:rsidRPr="008A7CEB">
        <w:rPr>
          <w:rtl/>
        </w:rPr>
        <w:t xml:space="preserve">ההליך המשפטי </w:t>
      </w:r>
      <w:r w:rsidR="008A7CEB">
        <w:rPr>
          <w:rFonts w:hint="cs"/>
          <w:rtl/>
        </w:rPr>
        <w:t xml:space="preserve">נמשך </w:t>
      </w:r>
      <w:r w:rsidR="008A7CEB">
        <w:rPr>
          <w:rtl/>
        </w:rPr>
        <w:t>שבועות וחודשים, ההרתעה אובדת</w:t>
      </w:r>
      <w:r w:rsidR="008A7CEB">
        <w:rPr>
          <w:rFonts w:hint="cs"/>
          <w:rtl/>
        </w:rPr>
        <w:t xml:space="preserve">. </w:t>
      </w:r>
      <w:r w:rsidRPr="008A7CEB">
        <w:rPr>
          <w:rFonts w:hint="cs"/>
          <w:rtl/>
        </w:rPr>
        <w:t>בגירוש</w:t>
      </w:r>
      <w:r w:rsidRPr="008A7CEB">
        <w:rPr>
          <w:rtl/>
        </w:rPr>
        <w:t xml:space="preserve"> מאוחר אין הרתעה</w:t>
      </w:r>
      <w:r w:rsidRPr="008A7CEB">
        <w:rPr>
          <w:rFonts w:hint="cs"/>
          <w:rtl/>
        </w:rPr>
        <w:t>,</w:t>
      </w:r>
      <w:r w:rsidRPr="008A7CEB">
        <w:rPr>
          <w:rtl/>
        </w:rPr>
        <w:t xml:space="preserve"> אלא רק </w:t>
      </w:r>
      <w:r w:rsidR="008A7CEB">
        <w:rPr>
          <w:rFonts w:hint="cs"/>
          <w:rtl/>
        </w:rPr>
        <w:t>גרימת כעס</w:t>
      </w:r>
      <w:r w:rsidRPr="008A7CEB">
        <w:rPr>
          <w:rtl/>
        </w:rPr>
        <w:t xml:space="preserve"> והתססה </w:t>
      </w:r>
      <w:r w:rsidR="008A7CEB">
        <w:rPr>
          <w:rFonts w:hint="cs"/>
          <w:rtl/>
        </w:rPr>
        <w:t>בקרב</w:t>
      </w:r>
      <w:r w:rsidRPr="008A7CEB">
        <w:rPr>
          <w:rtl/>
        </w:rPr>
        <w:t xml:space="preserve"> בני המקום והסביבה. </w:t>
      </w:r>
    </w:p>
    <w:p w14:paraId="7F6961CB" w14:textId="53C2531D" w:rsidR="00E13C27" w:rsidRDefault="001E4986" w:rsidP="00AB7BDC">
      <w:pPr>
        <w:pStyle w:val="Hesber"/>
        <w:spacing w:line="276" w:lineRule="auto"/>
        <w:rPr>
          <w:rtl/>
        </w:rPr>
      </w:pPr>
      <w:r w:rsidRPr="008A7CEB">
        <w:rPr>
          <w:rFonts w:hint="cs"/>
          <w:rtl/>
        </w:rPr>
        <w:t xml:space="preserve">החוק </w:t>
      </w:r>
      <w:r w:rsidR="008A7CEB">
        <w:rPr>
          <w:rFonts w:hint="cs"/>
          <w:rtl/>
        </w:rPr>
        <w:t xml:space="preserve">המוצע </w:t>
      </w:r>
      <w:r w:rsidRPr="008A7CEB">
        <w:rPr>
          <w:rFonts w:hint="cs"/>
          <w:rtl/>
        </w:rPr>
        <w:t>מ</w:t>
      </w:r>
      <w:bookmarkStart w:id="8" w:name="_GoBack"/>
      <w:bookmarkEnd w:id="8"/>
      <w:r w:rsidRPr="008A7CEB">
        <w:rPr>
          <w:rFonts w:hint="cs"/>
          <w:rtl/>
        </w:rPr>
        <w:t xml:space="preserve">בקש </w:t>
      </w:r>
      <w:r w:rsidRPr="008A7CEB">
        <w:rPr>
          <w:rtl/>
        </w:rPr>
        <w:t>גירוש משפחת המחבל הרוצח</w:t>
      </w:r>
      <w:r w:rsidRPr="008A7CEB">
        <w:rPr>
          <w:rFonts w:hint="cs"/>
          <w:rtl/>
        </w:rPr>
        <w:t xml:space="preserve"> מדרגה ראשונה</w:t>
      </w:r>
      <w:r w:rsidRPr="008A7CEB">
        <w:rPr>
          <w:rtl/>
        </w:rPr>
        <w:t>, שעודדה טרור,</w:t>
      </w:r>
      <w:r w:rsidRPr="008A7CEB">
        <w:rPr>
          <w:rFonts w:hint="cs"/>
          <w:rtl/>
        </w:rPr>
        <w:t xml:space="preserve"> אל</w:t>
      </w:r>
      <w:r w:rsidRPr="008A7CEB">
        <w:rPr>
          <w:rtl/>
        </w:rPr>
        <w:t xml:space="preserve"> מחוץ למקום מושבה</w:t>
      </w:r>
      <w:r w:rsidRPr="008A7CEB">
        <w:rPr>
          <w:rFonts w:hint="cs"/>
          <w:rtl/>
        </w:rPr>
        <w:t xml:space="preserve"> בתוך שבעה ימים</w:t>
      </w:r>
      <w:r w:rsidRPr="008A7CEB">
        <w:rPr>
          <w:rtl/>
        </w:rPr>
        <w:t>.</w:t>
      </w:r>
      <w:r w:rsidRPr="008A7CEB">
        <w:rPr>
          <w:rFonts w:hint="cs"/>
          <w:rtl/>
        </w:rPr>
        <w:t xml:space="preserve"> </w:t>
      </w:r>
    </w:p>
    <w:p w14:paraId="45EFDAD0" w14:textId="77777777" w:rsidR="00AB7BDC" w:rsidRPr="008A7CEB" w:rsidRDefault="00AB7BDC" w:rsidP="008A7CEB">
      <w:pPr>
        <w:pStyle w:val="Hesber"/>
        <w:spacing w:line="240" w:lineRule="auto"/>
        <w:rPr>
          <w:rtl/>
        </w:rPr>
      </w:pPr>
    </w:p>
    <w:p w14:paraId="0CFEC6B3" w14:textId="77777777" w:rsidR="00AB7BDC" w:rsidRPr="00D73212" w:rsidRDefault="00AB7BDC" w:rsidP="00AB7BDC">
      <w:pPr>
        <w:pStyle w:val="Hesber"/>
        <w:spacing w:line="240" w:lineRule="auto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25197208" w14:textId="77777777" w:rsidR="00AB7BDC" w:rsidRPr="00D73212" w:rsidRDefault="00AB7BDC" w:rsidP="00AB7BDC">
      <w:pPr>
        <w:pStyle w:val="Hesber"/>
        <w:spacing w:line="240" w:lineRule="auto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5C386ECD" w14:textId="77777777" w:rsidR="00AB7BDC" w:rsidRPr="00D73212" w:rsidRDefault="00AB7BDC" w:rsidP="00AB7BDC">
      <w:pPr>
        <w:pStyle w:val="Hesber"/>
        <w:spacing w:line="240" w:lineRule="auto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7BFF9CC4" w14:textId="77777777" w:rsidR="00AB7BDC" w:rsidRPr="00317312" w:rsidRDefault="00AB7BDC" w:rsidP="00AB7BDC">
      <w:pPr>
        <w:pStyle w:val="Hesber"/>
        <w:spacing w:line="240" w:lineRule="auto"/>
      </w:pPr>
      <w:r>
        <w:rPr>
          <w:rFonts w:hint="cs"/>
          <w:color w:val="auto"/>
          <w:rtl/>
          <w:lang w:eastAsia="en-US"/>
        </w:rPr>
        <w:t>י"ג בחשוון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ז</w:t>
      </w:r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14.11</w:t>
      </w:r>
      <w:r w:rsidRPr="00D73212">
        <w:rPr>
          <w:color w:val="auto"/>
          <w:rtl/>
          <w:lang w:eastAsia="en-US"/>
        </w:rPr>
        <w:t>.1</w:t>
      </w:r>
      <w:r>
        <w:rPr>
          <w:rFonts w:hint="cs"/>
          <w:color w:val="auto"/>
          <w:rtl/>
          <w:lang w:eastAsia="en-US"/>
        </w:rPr>
        <w:t>6</w:t>
      </w:r>
    </w:p>
    <w:p w14:paraId="6873CAA8" w14:textId="32CD629C" w:rsidR="008A7CEB" w:rsidRPr="00AB7BDC" w:rsidRDefault="008A7CEB" w:rsidP="008A7CEB">
      <w:pPr>
        <w:pStyle w:val="Hesber"/>
        <w:spacing w:line="240" w:lineRule="auto"/>
        <w:rPr>
          <w:sz w:val="26"/>
          <w:rtl/>
        </w:rPr>
      </w:pPr>
    </w:p>
    <w:sectPr w:rsidR="008A7CEB" w:rsidRPr="00AB7BDC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AB7BDC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C4462"/>
    <w:rsid w:val="001D7AAF"/>
    <w:rsid w:val="001E2D2E"/>
    <w:rsid w:val="001E4986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191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175A"/>
    <w:rsid w:val="00735FE9"/>
    <w:rsid w:val="00763CAA"/>
    <w:rsid w:val="00765F66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A7CEB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B7BDC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F1AA2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D6AB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58CCB989-5BEC-45F2-B8D3-5FF1861B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E56D6-04DF-486A-9FEB-1A871E813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968D23-D0D2-484F-B554-BB505CD3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10</cp:revision>
  <cp:lastPrinted>2013-07-04T08:25:00Z</cp:lastPrinted>
  <dcterms:created xsi:type="dcterms:W3CDTF">2015-04-20T09:58:00Z</dcterms:created>
  <dcterms:modified xsi:type="dcterms:W3CDTF">2016-11-09T13:15:00Z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2005329</vt:r8>
  </property>
</Properties>
</file>