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C0A17" w14:textId="77777777" w:rsidR="001605D1" w:rsidRPr="0000131B" w:rsidRDefault="001605D1" w:rsidP="001605D1">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2003800</w:t>
      </w:r>
      <w:bookmarkEnd w:id="0"/>
    </w:p>
    <w:p w14:paraId="281BFDC8" w14:textId="77777777" w:rsidR="001605D1" w:rsidRPr="00DB7060" w:rsidRDefault="001605D1" w:rsidP="001605D1">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54E3AAEF" w14:textId="77777777" w:rsidR="001605D1" w:rsidRPr="00F67051" w:rsidRDefault="001605D1" w:rsidP="001605D1">
      <w:pPr>
        <w:rPr>
          <w:rFonts w:cs="David"/>
          <w:b/>
          <w:bCs/>
          <w:sz w:val="26"/>
          <w:szCs w:val="26"/>
          <w:rtl/>
        </w:rPr>
      </w:pPr>
    </w:p>
    <w:p w14:paraId="4A071CC0" w14:textId="1E56187D" w:rsidR="001605D1" w:rsidRPr="00CF1AA2" w:rsidRDefault="001605D1" w:rsidP="002A6F4B">
      <w:pPr>
        <w:pStyle w:val="David"/>
        <w:spacing w:line="360" w:lineRule="auto"/>
        <w:ind w:left="3544"/>
        <w:rPr>
          <w:b/>
          <w:bCs/>
          <w:sz w:val="16"/>
          <w:szCs w:val="16"/>
          <w:rtl/>
        </w:rPr>
      </w:pPr>
      <w:bookmarkStart w:id="2" w:name="LGS_Initiators_List"/>
      <w:r>
        <w:rPr>
          <w:b/>
          <w:bCs/>
          <w:rtl/>
        </w:rPr>
        <w:t>יוזמים:      חברי הכנסת</w:t>
      </w:r>
      <w:bookmarkEnd w:id="2"/>
      <w:r w:rsidRPr="00F67051">
        <w:rPr>
          <w:b/>
          <w:bCs/>
        </w:rPr>
        <w:tab/>
      </w:r>
      <w:bookmarkStart w:id="3" w:name="LGS_PM_Names"/>
      <w:r>
        <w:rPr>
          <w:rFonts w:hint="cs"/>
          <w:b/>
          <w:bCs/>
          <w:rtl/>
        </w:rPr>
        <w:t>עודד פורר</w:t>
      </w:r>
      <w:r>
        <w:br/>
      </w:r>
      <w:r>
        <w:rPr>
          <w:rFonts w:hint="cs"/>
          <w:b/>
          <w:bCs/>
          <w:rtl/>
        </w:rPr>
        <w:t xml:space="preserve"> </w:t>
      </w:r>
      <w:r>
        <w:tab/>
      </w:r>
      <w:r>
        <w:tab/>
      </w:r>
      <w:r>
        <w:tab/>
      </w:r>
      <w:r>
        <w:tab/>
      </w:r>
      <w:r>
        <w:rPr>
          <w:rFonts w:hint="cs"/>
          <w:b/>
          <w:bCs/>
          <w:rtl/>
        </w:rPr>
        <w:t>חמד עמאר</w:t>
      </w:r>
      <w:r>
        <w:br/>
      </w:r>
      <w:r>
        <w:rPr>
          <w:rFonts w:hint="cs"/>
          <w:b/>
          <w:bCs/>
          <w:rtl/>
        </w:rPr>
        <w:t xml:space="preserve"> </w:t>
      </w:r>
      <w:r>
        <w:tab/>
      </w:r>
      <w:r>
        <w:tab/>
      </w:r>
      <w:r>
        <w:tab/>
      </w:r>
      <w:r>
        <w:tab/>
      </w:r>
      <w:r>
        <w:rPr>
          <w:rFonts w:hint="cs"/>
          <w:b/>
          <w:bCs/>
          <w:rtl/>
        </w:rPr>
        <w:t>רוברט אילטוב</w:t>
      </w:r>
      <w:r>
        <w:br/>
      </w:r>
      <w:r>
        <w:rPr>
          <w:rFonts w:hint="cs"/>
          <w:b/>
          <w:bCs/>
          <w:rtl/>
        </w:rPr>
        <w:t xml:space="preserve"> </w:t>
      </w:r>
      <w:r>
        <w:tab/>
      </w:r>
      <w:r>
        <w:tab/>
      </w:r>
      <w:r>
        <w:tab/>
      </w:r>
      <w:r>
        <w:tab/>
      </w:r>
      <w:r>
        <w:rPr>
          <w:rFonts w:hint="cs"/>
          <w:b/>
          <w:bCs/>
          <w:rtl/>
        </w:rPr>
        <w:t>יוליה מלינובסקי</w:t>
      </w:r>
      <w:r>
        <w:br/>
      </w:r>
      <w:r>
        <w:rPr>
          <w:rFonts w:hint="cs"/>
          <w:b/>
          <w:bCs/>
          <w:rtl/>
        </w:rPr>
        <w:t xml:space="preserve"> </w:t>
      </w:r>
      <w:r>
        <w:tab/>
      </w:r>
      <w:r>
        <w:tab/>
      </w:r>
      <w:r>
        <w:tab/>
      </w:r>
      <w:r>
        <w:tab/>
      </w:r>
      <w:r>
        <w:rPr>
          <w:rFonts w:hint="cs"/>
          <w:b/>
          <w:bCs/>
          <w:rtl/>
        </w:rPr>
        <w:t>מרדכי יוגב</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0DE6E046" w14:textId="77777777" w:rsidR="001605D1" w:rsidRPr="00904591" w:rsidRDefault="001605D1" w:rsidP="001605D1">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6D368DD5" w14:textId="77777777" w:rsidR="001605D1" w:rsidRPr="00E06736" w:rsidRDefault="001605D1" w:rsidP="001605D1">
      <w:pPr>
        <w:pStyle w:val="David"/>
        <w:spacing w:before="0" w:line="240" w:lineRule="auto"/>
        <w:ind w:left="3544"/>
        <w:rPr>
          <w:rtl/>
        </w:rPr>
      </w:pPr>
      <w:r>
        <w:t xml:space="preserve">                                             </w:t>
      </w:r>
      <w:bookmarkStart w:id="6" w:name="Private_Number"/>
      <w:r>
        <w:rPr>
          <w:rFonts w:hint="cs"/>
          <w:rtl/>
        </w:rPr>
        <w:t>פ/3450/20</w:t>
      </w:r>
      <w:bookmarkEnd w:id="6"/>
    </w:p>
    <w:p w14:paraId="60EC0B41" w14:textId="77777777" w:rsidR="001605D1" w:rsidRDefault="001605D1" w:rsidP="001605D1">
      <w:pPr>
        <w:spacing w:before="0" w:line="360" w:lineRule="auto"/>
        <w:ind w:left="2880" w:firstLine="720"/>
        <w:rPr>
          <w:rFonts w:cs="David"/>
          <w:sz w:val="26"/>
          <w:szCs w:val="26"/>
          <w:rtl/>
        </w:rPr>
      </w:pPr>
    </w:p>
    <w:p w14:paraId="5A78A596" w14:textId="77777777" w:rsidR="001605D1" w:rsidRPr="00F67051" w:rsidRDefault="001605D1" w:rsidP="001605D1">
      <w:pPr>
        <w:pStyle w:val="HeadHatzaotHok"/>
        <w:rPr>
          <w:rtl/>
        </w:rPr>
      </w:pPr>
      <w:bookmarkStart w:id="7" w:name="LGS_Subject"/>
      <w:r>
        <w:rPr>
          <w:rFonts w:hint="cs"/>
          <w:rtl/>
        </w:rPr>
        <w:t>הצעת חוק למניעת פגיעה במדינת ישראל באמצעות חרם (תיקון – הפסקת מימון מוסדות להשכלה גבוהה), התשע"ז–2016</w:t>
      </w:r>
      <w:bookmarkEnd w:id="7"/>
    </w:p>
    <w:p w14:paraId="617557B0" w14:textId="77777777" w:rsidR="001605D1" w:rsidRDefault="001605D1" w:rsidP="001605D1">
      <w:pPr>
        <w:pStyle w:val="HeadDivreiHesber"/>
        <w:spacing w:before="0" w:after="0"/>
        <w:rPr>
          <w:rtl/>
        </w:rPr>
      </w:pP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5"/>
        <w:gridCol w:w="624"/>
        <w:gridCol w:w="6518"/>
      </w:tblGrid>
      <w:tr w:rsidR="001605D1" w14:paraId="050AF93E" w14:textId="77777777" w:rsidTr="001605D1">
        <w:trPr>
          <w:cantSplit/>
        </w:trPr>
        <w:tc>
          <w:tcPr>
            <w:tcW w:w="1870" w:type="dxa"/>
            <w:hideMark/>
          </w:tcPr>
          <w:p w14:paraId="6DB1DFDD" w14:textId="77777777" w:rsidR="001605D1" w:rsidRDefault="001605D1" w:rsidP="00E12A3B">
            <w:pPr>
              <w:pStyle w:val="TableSideHeading"/>
              <w:keepLines w:val="0"/>
            </w:pPr>
            <w:r>
              <w:rPr>
                <w:rFonts w:hint="cs"/>
                <w:sz w:val="26"/>
                <w:rtl/>
              </w:rPr>
              <w:t xml:space="preserve">תיקון סעיף 4 </w:t>
            </w:r>
          </w:p>
        </w:tc>
        <w:tc>
          <w:tcPr>
            <w:tcW w:w="625" w:type="dxa"/>
            <w:hideMark/>
          </w:tcPr>
          <w:p w14:paraId="5BE614D3" w14:textId="77777777" w:rsidR="001605D1" w:rsidRDefault="001605D1" w:rsidP="00E12A3B">
            <w:pPr>
              <w:pStyle w:val="TableText"/>
              <w:keepLines w:val="0"/>
            </w:pPr>
            <w:r>
              <w:rPr>
                <w:rFonts w:hint="cs"/>
                <w:sz w:val="26"/>
                <w:rtl/>
              </w:rPr>
              <w:t>1.</w:t>
            </w:r>
          </w:p>
        </w:tc>
        <w:tc>
          <w:tcPr>
            <w:tcW w:w="7142" w:type="dxa"/>
            <w:gridSpan w:val="2"/>
            <w:hideMark/>
          </w:tcPr>
          <w:p w14:paraId="24B9C017" w14:textId="65925541" w:rsidR="001605D1" w:rsidRDefault="001605D1" w:rsidP="001605D1">
            <w:pPr>
              <w:pStyle w:val="TableBlock"/>
              <w:rPr>
                <w:rtl/>
              </w:rPr>
            </w:pPr>
            <w:r>
              <w:rPr>
                <w:rFonts w:hint="cs"/>
                <w:rtl/>
              </w:rPr>
              <w:t xml:space="preserve">בחוק למניעת פגיעה במדינת ישראל באמצעות חרם, </w:t>
            </w:r>
            <w:r w:rsidR="002A6F4B">
              <w:rPr>
                <w:rFonts w:hint="cs"/>
                <w:rtl/>
              </w:rPr>
              <w:t>ה</w:t>
            </w:r>
            <w:r>
              <w:rPr>
                <w:rFonts w:hint="cs"/>
                <w:rtl/>
              </w:rPr>
              <w:t>תשע"א–2011</w:t>
            </w:r>
            <w:r>
              <w:rPr>
                <w:rStyle w:val="a6"/>
                <w:rtl/>
              </w:rPr>
              <w:footnoteReference w:id="2"/>
            </w:r>
            <w:r>
              <w:rPr>
                <w:rFonts w:hint="cs"/>
                <w:rtl/>
              </w:rPr>
              <w:t>, בסעיף 4, אחרי סעיף קטן (ב) יבוא:</w:t>
            </w:r>
          </w:p>
        </w:tc>
      </w:tr>
      <w:tr w:rsidR="001605D1" w14:paraId="728C8929" w14:textId="77777777" w:rsidTr="001605D1">
        <w:trPr>
          <w:cantSplit/>
        </w:trPr>
        <w:tc>
          <w:tcPr>
            <w:tcW w:w="1870" w:type="dxa"/>
          </w:tcPr>
          <w:p w14:paraId="11086C8F" w14:textId="77777777" w:rsidR="001605D1" w:rsidRDefault="001605D1" w:rsidP="00E12A3B">
            <w:pPr>
              <w:pStyle w:val="TableSideHeading"/>
              <w:keepLines w:val="0"/>
              <w:rPr>
                <w:sz w:val="26"/>
                <w:rtl/>
              </w:rPr>
            </w:pPr>
          </w:p>
        </w:tc>
        <w:tc>
          <w:tcPr>
            <w:tcW w:w="625" w:type="dxa"/>
          </w:tcPr>
          <w:p w14:paraId="0B3963CC" w14:textId="77777777" w:rsidR="001605D1" w:rsidRDefault="001605D1" w:rsidP="00E12A3B">
            <w:pPr>
              <w:pStyle w:val="TableText"/>
              <w:rPr>
                <w:rtl/>
              </w:rPr>
            </w:pPr>
          </w:p>
        </w:tc>
        <w:tc>
          <w:tcPr>
            <w:tcW w:w="7142" w:type="dxa"/>
            <w:gridSpan w:val="2"/>
          </w:tcPr>
          <w:p w14:paraId="33B64547" w14:textId="77777777" w:rsidR="001605D1" w:rsidRDefault="001605D1" w:rsidP="001605D1">
            <w:pPr>
              <w:pStyle w:val="TableBlock"/>
              <w:rPr>
                <w:rtl/>
              </w:rPr>
            </w:pPr>
            <w:r>
              <w:rPr>
                <w:rFonts w:hint="cs"/>
                <w:rtl/>
              </w:rPr>
              <w:t>(ג)</w:t>
            </w:r>
            <w:r>
              <w:rPr>
                <w:rtl/>
              </w:rPr>
              <w:tab/>
            </w:r>
            <w:r>
              <w:rPr>
                <w:rFonts w:hint="cs"/>
                <w:rtl/>
              </w:rPr>
              <w:t>בסעיף זה –</w:t>
            </w:r>
          </w:p>
        </w:tc>
      </w:tr>
      <w:tr w:rsidR="001605D1" w14:paraId="2F50A229" w14:textId="77777777" w:rsidTr="001605D1">
        <w:trPr>
          <w:cantSplit/>
        </w:trPr>
        <w:tc>
          <w:tcPr>
            <w:tcW w:w="1870" w:type="dxa"/>
          </w:tcPr>
          <w:p w14:paraId="1476D7F8" w14:textId="77777777" w:rsidR="001605D1" w:rsidRPr="001605D1" w:rsidRDefault="001605D1" w:rsidP="001605D1">
            <w:pPr>
              <w:pStyle w:val="TableSideHeading"/>
              <w:ind w:right="0"/>
            </w:pPr>
          </w:p>
        </w:tc>
        <w:tc>
          <w:tcPr>
            <w:tcW w:w="625" w:type="dxa"/>
          </w:tcPr>
          <w:p w14:paraId="2E47F221" w14:textId="77777777" w:rsidR="001605D1" w:rsidRPr="001605D1" w:rsidRDefault="001605D1" w:rsidP="001605D1">
            <w:pPr>
              <w:pStyle w:val="TableText"/>
              <w:ind w:right="0"/>
              <w:jc w:val="both"/>
            </w:pPr>
          </w:p>
        </w:tc>
        <w:tc>
          <w:tcPr>
            <w:tcW w:w="7142" w:type="dxa"/>
            <w:gridSpan w:val="2"/>
          </w:tcPr>
          <w:p w14:paraId="147A3504" w14:textId="0B12F6AD" w:rsidR="001605D1" w:rsidRPr="001605D1" w:rsidRDefault="001605D1" w:rsidP="001605D1">
            <w:pPr>
              <w:pStyle w:val="TableBlockOutdent"/>
            </w:pPr>
            <w:r w:rsidRPr="001605D1">
              <w:rPr>
                <w:rFonts w:hint="cs"/>
                <w:rtl/>
              </w:rPr>
              <w:t>"המועצה להשכלה גבוהה" – כמשמעותה בחוק המועצה להשכלה גבוהה, התשי"ח–1958</w:t>
            </w:r>
            <w:r w:rsidRPr="001605D1">
              <w:rPr>
                <w:vertAlign w:val="superscript"/>
                <w:rtl/>
              </w:rPr>
              <w:footnoteReference w:id="3"/>
            </w:r>
            <w:r w:rsidRPr="001605D1">
              <w:rPr>
                <w:rFonts w:hint="cs"/>
                <w:rtl/>
              </w:rPr>
              <w:t>;</w:t>
            </w:r>
          </w:p>
        </w:tc>
      </w:tr>
      <w:tr w:rsidR="001605D1" w14:paraId="0D8DBB7D" w14:textId="77777777" w:rsidTr="001605D1">
        <w:trPr>
          <w:cantSplit/>
        </w:trPr>
        <w:tc>
          <w:tcPr>
            <w:tcW w:w="1870" w:type="dxa"/>
          </w:tcPr>
          <w:p w14:paraId="420C9ADD" w14:textId="77777777" w:rsidR="001605D1" w:rsidRPr="001605D1" w:rsidRDefault="001605D1" w:rsidP="001605D1">
            <w:pPr>
              <w:pStyle w:val="TableSideHeading"/>
              <w:ind w:right="0"/>
            </w:pPr>
          </w:p>
        </w:tc>
        <w:tc>
          <w:tcPr>
            <w:tcW w:w="625" w:type="dxa"/>
          </w:tcPr>
          <w:p w14:paraId="789DD5F7" w14:textId="77777777" w:rsidR="001605D1" w:rsidRPr="001605D1" w:rsidRDefault="001605D1" w:rsidP="001605D1">
            <w:pPr>
              <w:pStyle w:val="TableText"/>
              <w:ind w:right="0"/>
              <w:jc w:val="both"/>
            </w:pPr>
          </w:p>
        </w:tc>
        <w:tc>
          <w:tcPr>
            <w:tcW w:w="7142" w:type="dxa"/>
            <w:gridSpan w:val="2"/>
          </w:tcPr>
          <w:p w14:paraId="5A266216" w14:textId="047B5906" w:rsidR="001605D1" w:rsidRPr="001605D1" w:rsidRDefault="001605D1" w:rsidP="001605D1">
            <w:pPr>
              <w:pStyle w:val="TableBlockOutdent"/>
              <w:rPr>
                <w:rtl/>
              </w:rPr>
            </w:pPr>
            <w:r w:rsidRPr="001605D1">
              <w:rPr>
                <w:rFonts w:hint="cs"/>
                <w:rtl/>
              </w:rPr>
              <w:t>"ועדה מוסמכת" – ועדה שהוסמכה על ידי המועצה להשכלה גבוהה לקביעת אמות מידה לתקצוב כמשמעותן בסעיף 17א לחוק המועצה להשכלה גבוהה, התשי"ח–1958;</w:t>
            </w:r>
          </w:p>
        </w:tc>
      </w:tr>
      <w:tr w:rsidR="001605D1" w14:paraId="414F17BF" w14:textId="77777777" w:rsidTr="001605D1">
        <w:trPr>
          <w:cantSplit/>
        </w:trPr>
        <w:tc>
          <w:tcPr>
            <w:tcW w:w="1870" w:type="dxa"/>
          </w:tcPr>
          <w:p w14:paraId="15EBD358" w14:textId="77777777" w:rsidR="001605D1" w:rsidRPr="001605D1" w:rsidRDefault="001605D1" w:rsidP="001605D1">
            <w:pPr>
              <w:pStyle w:val="TableSideHeading"/>
              <w:ind w:right="0"/>
            </w:pPr>
          </w:p>
        </w:tc>
        <w:tc>
          <w:tcPr>
            <w:tcW w:w="625" w:type="dxa"/>
          </w:tcPr>
          <w:p w14:paraId="1317905E" w14:textId="77777777" w:rsidR="001605D1" w:rsidRPr="006260D6" w:rsidRDefault="001605D1" w:rsidP="001605D1">
            <w:pPr>
              <w:pStyle w:val="TableText"/>
            </w:pPr>
          </w:p>
        </w:tc>
        <w:tc>
          <w:tcPr>
            <w:tcW w:w="7142" w:type="dxa"/>
            <w:gridSpan w:val="2"/>
          </w:tcPr>
          <w:p w14:paraId="0A0A1EDF" w14:textId="275BB6AA" w:rsidR="001605D1" w:rsidRPr="001605D1" w:rsidRDefault="001605D1" w:rsidP="001605D1">
            <w:pPr>
              <w:pStyle w:val="TableBlockOutdent"/>
              <w:rPr>
                <w:rtl/>
              </w:rPr>
            </w:pPr>
            <w:r w:rsidRPr="001605D1">
              <w:rPr>
                <w:rFonts w:hint="cs"/>
                <w:rtl/>
              </w:rPr>
              <w:t>"מוסד אקדמי" – מוסד להשכלה גבוהה או מכללה אקדמית, שהמדינה משתתפת בתקציביהם.</w:t>
            </w:r>
          </w:p>
        </w:tc>
      </w:tr>
      <w:tr w:rsidR="001605D1" w14:paraId="2C9615A2" w14:textId="77777777" w:rsidTr="001605D1">
        <w:trPr>
          <w:cantSplit/>
        </w:trPr>
        <w:tc>
          <w:tcPr>
            <w:tcW w:w="1870" w:type="dxa"/>
          </w:tcPr>
          <w:p w14:paraId="4369D237" w14:textId="77777777" w:rsidR="001605D1" w:rsidRDefault="001605D1" w:rsidP="00E12A3B">
            <w:pPr>
              <w:pStyle w:val="TableSideHeading"/>
            </w:pPr>
          </w:p>
        </w:tc>
        <w:tc>
          <w:tcPr>
            <w:tcW w:w="625" w:type="dxa"/>
          </w:tcPr>
          <w:p w14:paraId="4DB26138" w14:textId="77777777" w:rsidR="001605D1" w:rsidRDefault="001605D1" w:rsidP="00E12A3B">
            <w:pPr>
              <w:pStyle w:val="TableText"/>
            </w:pPr>
          </w:p>
        </w:tc>
        <w:tc>
          <w:tcPr>
            <w:tcW w:w="7142" w:type="dxa"/>
            <w:gridSpan w:val="2"/>
          </w:tcPr>
          <w:p w14:paraId="4F4887FF" w14:textId="77777777" w:rsidR="001605D1" w:rsidRPr="00C34DE2" w:rsidRDefault="001605D1" w:rsidP="001605D1">
            <w:pPr>
              <w:pStyle w:val="TableBlock"/>
            </w:pPr>
            <w:r>
              <w:rPr>
                <w:rFonts w:hint="cs"/>
                <w:rtl/>
              </w:rPr>
              <w:t>(ד)</w:t>
            </w:r>
            <w:r>
              <w:rPr>
                <w:rtl/>
              </w:rPr>
              <w:tab/>
            </w:r>
            <w:r>
              <w:rPr>
                <w:rFonts w:hint="cs"/>
                <w:rtl/>
              </w:rPr>
              <w:t xml:space="preserve">יושב ראש המועצה להשכלה גבוהה רשאי, בהתייעצות עם הוועדה המוסמכת, להפחית מידי שנה את הסכומים שיש להעבירם מתקציב המדינה אל מוסד אקדמי, בהתקיים התנאים הבאים:  </w:t>
            </w:r>
          </w:p>
        </w:tc>
      </w:tr>
      <w:tr w:rsidR="001605D1" w14:paraId="784A59FC" w14:textId="77777777" w:rsidTr="001605D1">
        <w:trPr>
          <w:cantSplit/>
        </w:trPr>
        <w:tc>
          <w:tcPr>
            <w:tcW w:w="1870" w:type="dxa"/>
          </w:tcPr>
          <w:p w14:paraId="14C8B315" w14:textId="77777777" w:rsidR="001605D1" w:rsidRDefault="001605D1" w:rsidP="00E12A3B">
            <w:pPr>
              <w:pStyle w:val="TableSideHeading"/>
            </w:pPr>
          </w:p>
        </w:tc>
        <w:tc>
          <w:tcPr>
            <w:tcW w:w="625" w:type="dxa"/>
          </w:tcPr>
          <w:p w14:paraId="728AEE30" w14:textId="77777777" w:rsidR="001605D1" w:rsidRDefault="001605D1" w:rsidP="00E12A3B">
            <w:pPr>
              <w:pStyle w:val="TableText"/>
            </w:pPr>
          </w:p>
        </w:tc>
        <w:tc>
          <w:tcPr>
            <w:tcW w:w="624" w:type="dxa"/>
          </w:tcPr>
          <w:p w14:paraId="56E0A52B" w14:textId="77777777" w:rsidR="001605D1" w:rsidRDefault="001605D1" w:rsidP="00E12A3B">
            <w:pPr>
              <w:pStyle w:val="TableText"/>
            </w:pPr>
          </w:p>
        </w:tc>
        <w:tc>
          <w:tcPr>
            <w:tcW w:w="6518" w:type="dxa"/>
          </w:tcPr>
          <w:p w14:paraId="032D34AC" w14:textId="77777777" w:rsidR="001605D1" w:rsidRDefault="001605D1" w:rsidP="001605D1">
            <w:pPr>
              <w:pStyle w:val="TableBlock"/>
            </w:pPr>
            <w:r>
              <w:rPr>
                <w:rFonts w:hint="cs"/>
                <w:rtl/>
              </w:rPr>
              <w:t>(1)</w:t>
            </w:r>
            <w:r>
              <w:rPr>
                <w:rFonts w:hint="cs"/>
                <w:rtl/>
              </w:rPr>
              <w:tab/>
              <w:t>אדם הנמנה עם הסגל האקדמי במוסד האקדמי או עם עובדיו הבכירים פרסם ביודעין קריאה להטלת חרם על מדינת ישראל;</w:t>
            </w:r>
          </w:p>
        </w:tc>
      </w:tr>
      <w:tr w:rsidR="001605D1" w14:paraId="21C1EDF5" w14:textId="77777777" w:rsidTr="001605D1">
        <w:trPr>
          <w:cantSplit/>
        </w:trPr>
        <w:tc>
          <w:tcPr>
            <w:tcW w:w="1870" w:type="dxa"/>
          </w:tcPr>
          <w:p w14:paraId="576B1EE5" w14:textId="77777777" w:rsidR="001605D1" w:rsidRDefault="001605D1" w:rsidP="00E12A3B">
            <w:pPr>
              <w:pStyle w:val="TableSideHeading"/>
            </w:pPr>
          </w:p>
        </w:tc>
        <w:tc>
          <w:tcPr>
            <w:tcW w:w="625" w:type="dxa"/>
          </w:tcPr>
          <w:p w14:paraId="438D1BD2" w14:textId="77777777" w:rsidR="001605D1" w:rsidRDefault="001605D1" w:rsidP="00E12A3B">
            <w:pPr>
              <w:pStyle w:val="TableText"/>
            </w:pPr>
          </w:p>
        </w:tc>
        <w:tc>
          <w:tcPr>
            <w:tcW w:w="624" w:type="dxa"/>
          </w:tcPr>
          <w:p w14:paraId="17711EF5" w14:textId="77777777" w:rsidR="001605D1" w:rsidRDefault="001605D1" w:rsidP="00E12A3B">
            <w:pPr>
              <w:pStyle w:val="TableText"/>
            </w:pPr>
          </w:p>
        </w:tc>
        <w:tc>
          <w:tcPr>
            <w:tcW w:w="6518" w:type="dxa"/>
          </w:tcPr>
          <w:p w14:paraId="69BD6469" w14:textId="77777777" w:rsidR="001605D1" w:rsidRDefault="001605D1" w:rsidP="001605D1">
            <w:pPr>
              <w:pStyle w:val="TableBlock"/>
              <w:rPr>
                <w:rtl/>
              </w:rPr>
            </w:pPr>
            <w:r>
              <w:rPr>
                <w:rFonts w:hint="cs"/>
                <w:rtl/>
              </w:rPr>
              <w:t>(2)</w:t>
            </w:r>
            <w:r>
              <w:rPr>
                <w:rFonts w:hint="cs"/>
                <w:rtl/>
              </w:rPr>
              <w:tab/>
              <w:t>על פי תוכנה של הקריאה והנסיבות שבהן פורסמה קיימת אפשרות סבירה שתביא להטלת חרם על מדינת ישראל.</w:t>
            </w:r>
          </w:p>
        </w:tc>
      </w:tr>
      <w:tr w:rsidR="001605D1" w14:paraId="71954FFC" w14:textId="77777777" w:rsidTr="001605D1">
        <w:trPr>
          <w:cantSplit/>
        </w:trPr>
        <w:tc>
          <w:tcPr>
            <w:tcW w:w="1870" w:type="dxa"/>
          </w:tcPr>
          <w:p w14:paraId="27D2935E" w14:textId="77777777" w:rsidR="001605D1" w:rsidRDefault="001605D1" w:rsidP="00E12A3B">
            <w:pPr>
              <w:pStyle w:val="TableSideHeading"/>
            </w:pPr>
          </w:p>
        </w:tc>
        <w:tc>
          <w:tcPr>
            <w:tcW w:w="625" w:type="dxa"/>
          </w:tcPr>
          <w:p w14:paraId="546C3BF0" w14:textId="77777777" w:rsidR="001605D1" w:rsidRDefault="001605D1" w:rsidP="00E12A3B">
            <w:pPr>
              <w:pStyle w:val="TableText"/>
            </w:pPr>
          </w:p>
        </w:tc>
        <w:tc>
          <w:tcPr>
            <w:tcW w:w="7142" w:type="dxa"/>
            <w:gridSpan w:val="2"/>
          </w:tcPr>
          <w:p w14:paraId="57444844" w14:textId="77777777" w:rsidR="001605D1" w:rsidRPr="00C34DE2" w:rsidRDefault="001605D1" w:rsidP="001605D1">
            <w:pPr>
              <w:pStyle w:val="TableBlock"/>
            </w:pPr>
            <w:r>
              <w:rPr>
                <w:rFonts w:hint="cs"/>
                <w:rtl/>
              </w:rPr>
              <w:t>(ה)</w:t>
            </w:r>
            <w:r>
              <w:rPr>
                <w:rtl/>
              </w:rPr>
              <w:tab/>
            </w:r>
            <w:r>
              <w:rPr>
                <w:rFonts w:hint="cs"/>
                <w:rtl/>
              </w:rPr>
              <w:t>הפחתת הסכומים כאמור בסעיף קטן (ד) לא תעלה על השכר השנתי המשולם על ידי המוסד האקדמי לאדם אחד או יותר שפעלו כאמור באותו סעיף."</w:t>
            </w:r>
          </w:p>
        </w:tc>
      </w:tr>
    </w:tbl>
    <w:p w14:paraId="082A7D59" w14:textId="77777777" w:rsidR="001605D1" w:rsidRPr="006260D6" w:rsidRDefault="001605D1" w:rsidP="001605D1">
      <w:pPr>
        <w:pStyle w:val="HeadDivreiHesber"/>
        <w:rPr>
          <w:rtl/>
        </w:rPr>
      </w:pPr>
      <w:r w:rsidRPr="006260D6">
        <w:rPr>
          <w:rFonts w:hint="cs"/>
          <w:rtl/>
        </w:rPr>
        <w:t>דברי הסבר</w:t>
      </w:r>
    </w:p>
    <w:p w14:paraId="61176A1D" w14:textId="77777777" w:rsidR="001605D1" w:rsidRPr="006260D6" w:rsidRDefault="001605D1" w:rsidP="001605D1">
      <w:pPr>
        <w:pStyle w:val="Hesber"/>
        <w:rPr>
          <w:rtl/>
        </w:rPr>
      </w:pPr>
      <w:r w:rsidRPr="006260D6">
        <w:rPr>
          <w:rFonts w:hint="cs"/>
          <w:rtl/>
        </w:rPr>
        <w:t>הצעת חוק זו נועדה לצמצם הטלת חרמות אקדמיים נגד מדינת ישראל המובלים על ידי אנשי סגל ומרצים מאוניברסיטאות ומכללות בישראל.</w:t>
      </w:r>
    </w:p>
    <w:p w14:paraId="5A4ECFDF" w14:textId="708B030F" w:rsidR="001605D1" w:rsidRPr="006260D6" w:rsidRDefault="001605D1" w:rsidP="001605D1">
      <w:pPr>
        <w:pStyle w:val="Hesber"/>
        <w:rPr>
          <w:rtl/>
        </w:rPr>
      </w:pPr>
      <w:r w:rsidRPr="006260D6">
        <w:rPr>
          <w:rFonts w:hint="cs"/>
          <w:rtl/>
        </w:rPr>
        <w:t xml:space="preserve">בשנים האחרונות רבו המקרים </w:t>
      </w:r>
      <w:r w:rsidR="002A6F4B">
        <w:rPr>
          <w:rFonts w:hint="cs"/>
          <w:rtl/>
        </w:rPr>
        <w:t>ש</w:t>
      </w:r>
      <w:bookmarkStart w:id="8" w:name="_GoBack"/>
      <w:bookmarkEnd w:id="8"/>
      <w:r w:rsidRPr="006260D6">
        <w:rPr>
          <w:rFonts w:hint="cs"/>
          <w:rtl/>
        </w:rPr>
        <w:t>בהם אנשי סגל אקדמי ובכירים המועסקים במוסדות הממומנים על ידי מדינת ישראל מצטרפים לחרם אקדמי או מובילים חרם אקדמי, הכולל סירוב לשיתוף פעולה בין מוסדות ישראליים לשאר מוסדות בעולם. חרם מסוג זה עלול לפגוע פגיעה אנושה בפיתוחים מדעיים ובשיתוף ידע מחקרי בין ישראל לעולם.</w:t>
      </w:r>
    </w:p>
    <w:p w14:paraId="1C898916" w14:textId="77777777" w:rsidR="001605D1" w:rsidRPr="006260D6" w:rsidRDefault="001605D1" w:rsidP="001605D1">
      <w:pPr>
        <w:pStyle w:val="Hesber"/>
        <w:rPr>
          <w:rtl/>
        </w:rPr>
      </w:pPr>
      <w:r w:rsidRPr="006260D6">
        <w:rPr>
          <w:rFonts w:hint="cs"/>
          <w:rtl/>
        </w:rPr>
        <w:t xml:space="preserve">התיקון המוצע קובע להפחית את תקציבו של מוסד מתוקצב להשכלה גבוהה שאחד מעובדיו פרסם קריאה פומבית להטלת חרם על מדינת ישראל על מנת למנוע מקרים עתידיים בהם עובד המקבל את משכורתו ממוסד מתוקצב יקרא לחרם נגד מדינת ישראל ובעקיפין </w:t>
      </w:r>
      <w:r w:rsidRPr="006260D6">
        <w:rPr>
          <w:rtl/>
        </w:rPr>
        <w:t>–</w:t>
      </w:r>
      <w:r w:rsidRPr="006260D6">
        <w:rPr>
          <w:rFonts w:hint="cs"/>
          <w:rtl/>
        </w:rPr>
        <w:t xml:space="preserve"> נגד המוסד המעסיק אותו.   </w:t>
      </w:r>
    </w:p>
    <w:p w14:paraId="635CDA1F" w14:textId="77777777" w:rsidR="001605D1" w:rsidRDefault="001605D1" w:rsidP="001605D1">
      <w:pPr>
        <w:pStyle w:val="Hesber"/>
        <w:rPr>
          <w:rtl/>
        </w:rPr>
      </w:pPr>
    </w:p>
    <w:p w14:paraId="2010E385" w14:textId="410741D5" w:rsidR="002A6F4B" w:rsidRDefault="002A6F4B" w:rsidP="001605D1">
      <w:pPr>
        <w:pStyle w:val="Hesber"/>
        <w:rPr>
          <w:rtl/>
        </w:rPr>
      </w:pPr>
    </w:p>
    <w:p w14:paraId="1E83CAC9" w14:textId="77777777" w:rsidR="002A6F4B" w:rsidRDefault="002A6F4B" w:rsidP="001605D1">
      <w:pPr>
        <w:pStyle w:val="Hesber"/>
        <w:rPr>
          <w:rtl/>
        </w:rPr>
      </w:pPr>
    </w:p>
    <w:p w14:paraId="08A0B9FC" w14:textId="77777777" w:rsidR="002A6F4B" w:rsidRPr="00D73212" w:rsidRDefault="002A6F4B" w:rsidP="002A6F4B">
      <w:pPr>
        <w:pStyle w:val="Hesber"/>
        <w:rPr>
          <w:color w:val="auto"/>
          <w:rtl/>
          <w:lang w:eastAsia="en-US"/>
        </w:rPr>
      </w:pPr>
      <w:r w:rsidRPr="00D73212">
        <w:rPr>
          <w:color w:val="auto"/>
          <w:rtl/>
          <w:lang w:eastAsia="en-US"/>
        </w:rPr>
        <w:t>---------------------------------</w:t>
      </w:r>
    </w:p>
    <w:p w14:paraId="190BB3E5" w14:textId="77777777" w:rsidR="002A6F4B" w:rsidRPr="00D73212" w:rsidRDefault="002A6F4B" w:rsidP="002A6F4B">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1010645" w14:textId="77777777" w:rsidR="002A6F4B" w:rsidRPr="00D73212" w:rsidRDefault="002A6F4B" w:rsidP="002A6F4B">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F5A7A1B" w14:textId="77777777" w:rsidR="002A6F4B" w:rsidRPr="00317312" w:rsidRDefault="002A6F4B" w:rsidP="002A6F4B">
      <w:pPr>
        <w:pStyle w:val="Hesber"/>
      </w:pPr>
      <w:r>
        <w:rPr>
          <w:rFonts w:hint="cs"/>
          <w:color w:val="auto"/>
          <w:rtl/>
          <w:lang w:eastAsia="en-US"/>
        </w:rPr>
        <w:t>ו' בחשוון</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7.11</w:t>
      </w:r>
      <w:r w:rsidRPr="00D73212">
        <w:rPr>
          <w:color w:val="auto"/>
          <w:rtl/>
          <w:lang w:eastAsia="en-US"/>
        </w:rPr>
        <w:t>.1</w:t>
      </w:r>
      <w:r>
        <w:rPr>
          <w:rFonts w:hint="cs"/>
          <w:color w:val="auto"/>
          <w:rtl/>
          <w:lang w:eastAsia="en-US"/>
        </w:rPr>
        <w:t>6</w:t>
      </w:r>
    </w:p>
    <w:p w14:paraId="7F6961CB" w14:textId="77777777" w:rsidR="00E13C27" w:rsidRPr="001605D1" w:rsidRDefault="00E13C27" w:rsidP="001605D1">
      <w:pPr>
        <w:rPr>
          <w:rtl/>
        </w:rPr>
      </w:pPr>
    </w:p>
    <w:sectPr w:rsidR="00E13C27" w:rsidRPr="001605D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A6F4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C28BBE3" w14:textId="77777777" w:rsidR="001605D1" w:rsidRDefault="001605D1" w:rsidP="001605D1">
      <w:pPr>
        <w:pStyle w:val="a4"/>
        <w:rPr>
          <w:rtl/>
        </w:rPr>
      </w:pPr>
      <w:r>
        <w:rPr>
          <w:rStyle w:val="a6"/>
        </w:rPr>
        <w:footnoteRef/>
      </w:r>
      <w:r>
        <w:rPr>
          <w:rFonts w:hint="cs"/>
          <w:rtl/>
        </w:rPr>
        <w:t xml:space="preserve"> ס"ח התשע"א, עמ' 972.</w:t>
      </w:r>
    </w:p>
  </w:footnote>
  <w:footnote w:id="3">
    <w:p w14:paraId="41BCF17F" w14:textId="77777777" w:rsidR="001605D1" w:rsidRDefault="001605D1" w:rsidP="001605D1">
      <w:pPr>
        <w:pStyle w:val="a4"/>
        <w:rPr>
          <w:rtl/>
        </w:rPr>
      </w:pPr>
      <w:r>
        <w:rPr>
          <w:rStyle w:val="a6"/>
        </w:rPr>
        <w:footnoteRef/>
      </w:r>
      <w:r>
        <w:rPr>
          <w:rtl/>
        </w:rPr>
        <w:t xml:space="preserve"> </w:t>
      </w:r>
      <w:r>
        <w:rPr>
          <w:rFonts w:hint="cs"/>
          <w:rtl/>
        </w:rPr>
        <w:t>ס"ח התשי"ח, עמ'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605D1"/>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A6F4B"/>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F4F5B"/>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00BA770-3885-45AE-9B28-852B1831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5D1"/>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605D1"/>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605D1"/>
    <w:rPr>
      <w:sz w:val="36"/>
      <w:szCs w:val="52"/>
    </w:rPr>
  </w:style>
  <w:style w:type="paragraph" w:customStyle="1" w:styleId="Cover3-Haknesset">
    <w:name w:val="Cover 3-Haknesset"/>
    <w:basedOn w:val="Cover1-Reshumot"/>
    <w:rsid w:val="001605D1"/>
    <w:rPr>
      <w:b/>
      <w:bCs/>
      <w:spacing w:val="60"/>
    </w:rPr>
  </w:style>
  <w:style w:type="paragraph" w:customStyle="1" w:styleId="Cover4-Date">
    <w:name w:val="Cover 4-Date"/>
    <w:basedOn w:val="a"/>
    <w:rsid w:val="001605D1"/>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605D1"/>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1605D1"/>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1605D1"/>
    <w:pPr>
      <w:spacing w:before="120" w:after="120"/>
    </w:pPr>
    <w:rPr>
      <w:color w:val="FF0000"/>
      <w:w w:val="80"/>
    </w:rPr>
  </w:style>
  <w:style w:type="paragraph" w:styleId="a3">
    <w:name w:val="endnote text"/>
    <w:basedOn w:val="a"/>
    <w:semiHidden/>
    <w:rsid w:val="001605D1"/>
    <w:pPr>
      <w:ind w:left="227" w:hanging="227"/>
    </w:pPr>
    <w:rPr>
      <w:sz w:val="14"/>
      <w:szCs w:val="22"/>
    </w:rPr>
  </w:style>
  <w:style w:type="paragraph" w:customStyle="1" w:styleId="TableText">
    <w:name w:val="Table Text"/>
    <w:basedOn w:val="a"/>
    <w:rsid w:val="001605D1"/>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1605D1"/>
  </w:style>
  <w:style w:type="paragraph" w:customStyle="1" w:styleId="TableBlock">
    <w:name w:val="Table Block"/>
    <w:basedOn w:val="TableText"/>
    <w:rsid w:val="001605D1"/>
    <w:pPr>
      <w:ind w:right="0"/>
      <w:jc w:val="both"/>
    </w:pPr>
  </w:style>
  <w:style w:type="paragraph" w:customStyle="1" w:styleId="TableHead">
    <w:name w:val="Table Head"/>
    <w:basedOn w:val="TableText"/>
    <w:rsid w:val="001605D1"/>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605D1"/>
  </w:style>
  <w:style w:type="paragraph" w:customStyle="1" w:styleId="Hesber">
    <w:name w:val="Hesber"/>
    <w:basedOn w:val="a"/>
    <w:rsid w:val="001605D1"/>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1605D1"/>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1605D1"/>
    <w:rPr>
      <w:vertAlign w:val="superscript"/>
    </w:rPr>
  </w:style>
  <w:style w:type="paragraph" w:customStyle="1" w:styleId="HesberHeading">
    <w:name w:val="Hesber Heading"/>
    <w:basedOn w:val="Hesber"/>
    <w:rsid w:val="001605D1"/>
    <w:pPr>
      <w:tabs>
        <w:tab w:val="left" w:pos="624"/>
        <w:tab w:val="left" w:pos="1247"/>
      </w:tabs>
      <w:ind w:firstLine="0"/>
    </w:pPr>
    <w:rPr>
      <w:b/>
      <w:bCs/>
    </w:rPr>
  </w:style>
  <w:style w:type="paragraph" w:customStyle="1" w:styleId="HesberWriters">
    <w:name w:val="Hesber Writers"/>
    <w:basedOn w:val="Hesber"/>
    <w:rsid w:val="001605D1"/>
    <w:pPr>
      <w:spacing w:before="120" w:after="6000"/>
      <w:ind w:left="1418" w:firstLine="0"/>
      <w:jc w:val="right"/>
    </w:pPr>
    <w:rPr>
      <w:b/>
      <w:bCs/>
    </w:rPr>
  </w:style>
  <w:style w:type="paragraph" w:customStyle="1" w:styleId="Hesber1st">
    <w:name w:val="Hesber 1st"/>
    <w:basedOn w:val="Hesber"/>
    <w:rsid w:val="001605D1"/>
    <w:pPr>
      <w:tabs>
        <w:tab w:val="left" w:pos="680"/>
        <w:tab w:val="left" w:pos="1020"/>
      </w:tabs>
      <w:ind w:firstLine="0"/>
    </w:pPr>
  </w:style>
  <w:style w:type="character" w:styleId="a7">
    <w:name w:val="endnote reference"/>
    <w:basedOn w:val="a0"/>
    <w:semiHidden/>
    <w:rsid w:val="001605D1"/>
    <w:rPr>
      <w:vertAlign w:val="superscript"/>
    </w:rPr>
  </w:style>
  <w:style w:type="paragraph" w:customStyle="1" w:styleId="TableBlockOutdent">
    <w:name w:val="Table BlockOutdent"/>
    <w:basedOn w:val="TableBlock"/>
    <w:rsid w:val="001605D1"/>
    <w:pPr>
      <w:ind w:left="624" w:hanging="624"/>
    </w:pPr>
  </w:style>
  <w:style w:type="paragraph" w:styleId="a8">
    <w:name w:val="header"/>
    <w:basedOn w:val="a"/>
    <w:rsid w:val="001605D1"/>
    <w:pPr>
      <w:tabs>
        <w:tab w:val="center" w:pos="4153"/>
        <w:tab w:val="right" w:pos="8306"/>
      </w:tabs>
    </w:pPr>
  </w:style>
  <w:style w:type="paragraph" w:styleId="a9">
    <w:name w:val="footer"/>
    <w:basedOn w:val="a"/>
    <w:rsid w:val="001605D1"/>
    <w:pPr>
      <w:tabs>
        <w:tab w:val="center" w:pos="4153"/>
        <w:tab w:val="right" w:pos="8306"/>
      </w:tabs>
    </w:pPr>
  </w:style>
  <w:style w:type="paragraph" w:customStyle="1" w:styleId="HeadDivreiHesber">
    <w:name w:val="Head DivreiHesber"/>
    <w:basedOn w:val="a"/>
    <w:rsid w:val="001605D1"/>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1605D1"/>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605D1"/>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605D1"/>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A2538861-C024-49B0-B4E5-40765BC90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E56762-2265-4242-97A7-C04ABCBD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1733</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cp:revision>
  <cp:lastPrinted>2016-11-06T12:06:00Z</cp:lastPrinted>
  <dcterms:created xsi:type="dcterms:W3CDTF">2015-04-20T09:58:00Z</dcterms:created>
  <dcterms:modified xsi:type="dcterms:W3CDTF">2016-11-06T12:06:00Z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2003800</vt:r8>
  </property>
</Properties>
</file>