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A4BBEE" w14:textId="77777777" w:rsidR="00A31D9F" w:rsidRDefault="00A31D9F" w:rsidP="00A31D9F">
      <w:pPr>
        <w:pStyle w:val="HeadHatzaotHok"/>
        <w:jc w:val="right"/>
        <w:rPr>
          <w:b w:val="0"/>
          <w:bCs w:val="0"/>
          <w:szCs w:val="20"/>
        </w:rPr>
      </w:pPr>
      <w:r>
        <w:rPr>
          <w:rFonts w:hint="cs"/>
          <w:b w:val="0"/>
          <w:bCs w:val="0"/>
          <w:szCs w:val="20"/>
          <w:rtl/>
        </w:rPr>
        <w:t xml:space="preserve">מספר פנימי: </w:t>
      </w:r>
      <w:bookmarkStart w:id="0" w:name="LGS_Internal_ID"/>
      <w:r>
        <w:rPr>
          <w:rFonts w:hint="cs"/>
          <w:b w:val="0"/>
          <w:bCs w:val="0"/>
          <w:szCs w:val="20"/>
          <w:rtl/>
        </w:rPr>
        <w:t>2006210</w:t>
      </w:r>
      <w:bookmarkEnd w:id="0"/>
    </w:p>
    <w:p w14:paraId="54CA5F12" w14:textId="77777777" w:rsidR="00A31D9F" w:rsidRDefault="00A31D9F" w:rsidP="00A31D9F">
      <w:pPr>
        <w:pStyle w:val="HeadHatzaotHok"/>
        <w:rPr>
          <w:sz w:val="28"/>
          <w:szCs w:val="28"/>
        </w:rPr>
      </w:pPr>
      <w:r>
        <w:rPr>
          <w:rFonts w:hint="cs"/>
          <w:sz w:val="28"/>
          <w:szCs w:val="28"/>
          <w:rtl/>
        </w:rPr>
        <w:t xml:space="preserve">הכנסת </w:t>
      </w:r>
      <w:bookmarkStart w:id="1" w:name="LGS_Knesset_Num"/>
      <w:r>
        <w:rPr>
          <w:rFonts w:hint="cs"/>
          <w:sz w:val="28"/>
          <w:szCs w:val="28"/>
          <w:rtl/>
        </w:rPr>
        <w:t>העשרים</w:t>
      </w:r>
      <w:bookmarkEnd w:id="1"/>
    </w:p>
    <w:p w14:paraId="72AE058F" w14:textId="77777777" w:rsidR="00A31D9F" w:rsidRDefault="00A31D9F" w:rsidP="00A31D9F">
      <w:pPr>
        <w:rPr>
          <w:rFonts w:cs="David"/>
          <w:b/>
          <w:bCs/>
          <w:sz w:val="26"/>
          <w:szCs w:val="26"/>
          <w:rtl/>
        </w:rPr>
      </w:pPr>
    </w:p>
    <w:p w14:paraId="19183EDB" w14:textId="77777777" w:rsidR="00A31D9F" w:rsidRDefault="00A31D9F" w:rsidP="00A31D9F">
      <w:pPr>
        <w:pStyle w:val="David"/>
        <w:spacing w:line="360" w:lineRule="auto"/>
        <w:ind w:left="3544"/>
        <w:rPr>
          <w:b/>
          <w:bCs/>
          <w:rtl/>
        </w:rPr>
      </w:pPr>
      <w:bookmarkStart w:id="2" w:name="LGS_Initiators_List"/>
      <w:r>
        <w:rPr>
          <w:rFonts w:hint="cs"/>
          <w:b/>
          <w:bCs/>
          <w:rtl/>
        </w:rPr>
        <w:t>יוזמים:      חברי הכנסת</w:t>
      </w:r>
      <w:bookmarkEnd w:id="2"/>
      <w:r>
        <w:rPr>
          <w:b/>
          <w:bCs/>
        </w:rPr>
        <w:tab/>
      </w:r>
      <w:bookmarkStart w:id="3" w:name="LGS_PM_Names"/>
      <w:r>
        <w:rPr>
          <w:rFonts w:hint="cs"/>
          <w:b/>
          <w:bCs/>
          <w:rtl/>
        </w:rPr>
        <w:t>יואל חסון</w:t>
      </w:r>
      <w:r>
        <w:br/>
      </w:r>
      <w:r>
        <w:rPr>
          <w:rFonts w:hint="cs"/>
          <w:b/>
          <w:bCs/>
          <w:rtl/>
        </w:rPr>
        <w:t xml:space="preserve"> </w:t>
      </w:r>
      <w:r>
        <w:tab/>
      </w:r>
      <w:r>
        <w:tab/>
      </w:r>
      <w:r>
        <w:tab/>
      </w:r>
      <w:r>
        <w:tab/>
      </w:r>
      <w:r>
        <w:rPr>
          <w:rFonts w:hint="cs"/>
          <w:b/>
          <w:bCs/>
          <w:rtl/>
        </w:rPr>
        <w:t>מכלוף מיקי זוהר</w:t>
      </w:r>
      <w:r>
        <w:br/>
      </w:r>
      <w:r>
        <w:rPr>
          <w:rFonts w:hint="cs"/>
          <w:b/>
          <w:bCs/>
          <w:rtl/>
        </w:rPr>
        <w:t xml:space="preserve"> </w:t>
      </w:r>
      <w:r>
        <w:tab/>
      </w:r>
      <w:r>
        <w:tab/>
      </w:r>
      <w:r>
        <w:tab/>
      </w:r>
      <w:r>
        <w:tab/>
      </w:r>
      <w:r>
        <w:rPr>
          <w:rFonts w:hint="cs"/>
          <w:b/>
          <w:bCs/>
          <w:rtl/>
        </w:rPr>
        <w:t>נורית קורן</w:t>
      </w:r>
      <w:r>
        <w:br/>
      </w:r>
      <w:r>
        <w:rPr>
          <w:rFonts w:hint="cs"/>
          <w:b/>
          <w:bCs/>
          <w:rtl/>
        </w:rPr>
        <w:t xml:space="preserve"> </w:t>
      </w:r>
      <w:r>
        <w:tab/>
      </w:r>
      <w:r>
        <w:tab/>
      </w:r>
      <w:r>
        <w:tab/>
      </w:r>
      <w:r>
        <w:tab/>
      </w:r>
      <w:r>
        <w:rPr>
          <w:rFonts w:hint="cs"/>
          <w:b/>
          <w:bCs/>
          <w:rtl/>
        </w:rPr>
        <w:t>מירב בן ארי</w:t>
      </w:r>
      <w:r>
        <w:br/>
      </w:r>
      <w:r>
        <w:rPr>
          <w:rFonts w:hint="cs"/>
          <w:b/>
          <w:bCs/>
          <w:rtl/>
        </w:rPr>
        <w:t xml:space="preserve"> </w:t>
      </w:r>
      <w:r>
        <w:tab/>
      </w:r>
      <w:r>
        <w:tab/>
      </w:r>
      <w:r>
        <w:tab/>
      </w:r>
      <w:r>
        <w:tab/>
      </w:r>
      <w:r>
        <w:rPr>
          <w:rFonts w:hint="cs"/>
          <w:b/>
          <w:bCs/>
          <w:rtl/>
        </w:rPr>
        <w:t>איתן כבל</w:t>
      </w:r>
      <w:r>
        <w:br/>
      </w:r>
      <w:r>
        <w:rPr>
          <w:rFonts w:hint="cs"/>
          <w:b/>
          <w:bCs/>
          <w:rtl/>
        </w:rPr>
        <w:t xml:space="preserve"> </w:t>
      </w:r>
      <w:r>
        <w:tab/>
      </w:r>
      <w:r>
        <w:tab/>
      </w:r>
      <w:r>
        <w:tab/>
      </w:r>
      <w:r>
        <w:tab/>
      </w:r>
      <w:r>
        <w:rPr>
          <w:rFonts w:hint="cs"/>
          <w:b/>
          <w:bCs/>
          <w:rtl/>
        </w:rPr>
        <w:t>מאיר כהן</w:t>
      </w:r>
      <w:r>
        <w:br/>
      </w:r>
      <w:r>
        <w:rPr>
          <w:rFonts w:hint="cs"/>
          <w:b/>
          <w:bCs/>
          <w:rtl/>
        </w:rPr>
        <w:t xml:space="preserve"> </w:t>
      </w:r>
      <w:r>
        <w:tab/>
      </w:r>
      <w:r>
        <w:tab/>
      </w:r>
      <w:r>
        <w:tab/>
      </w:r>
      <w:r>
        <w:tab/>
      </w:r>
      <w:r>
        <w:rPr>
          <w:rFonts w:hint="cs"/>
          <w:b/>
          <w:bCs/>
          <w:rtl/>
        </w:rPr>
        <w:t>דוד אמסלם</w:t>
      </w:r>
      <w:r>
        <w:br/>
      </w:r>
      <w:r>
        <w:rPr>
          <w:rFonts w:hint="cs"/>
          <w:b/>
          <w:bCs/>
          <w:rtl/>
        </w:rPr>
        <w:t xml:space="preserve"> </w:t>
      </w:r>
      <w:r>
        <w:tab/>
      </w:r>
      <w:r>
        <w:tab/>
      </w:r>
      <w:r>
        <w:tab/>
      </w:r>
      <w:r>
        <w:tab/>
      </w:r>
      <w:r>
        <w:rPr>
          <w:rFonts w:hint="cs"/>
          <w:b/>
          <w:bCs/>
          <w:rtl/>
        </w:rPr>
        <w:t>איציק שמולי</w:t>
      </w:r>
      <w:r>
        <w:br/>
      </w:r>
      <w:r>
        <w:rPr>
          <w:rFonts w:hint="cs"/>
          <w:b/>
          <w:bCs/>
          <w:rtl/>
        </w:rPr>
        <w:t xml:space="preserve"> </w:t>
      </w:r>
      <w:r>
        <w:tab/>
      </w:r>
      <w:r>
        <w:tab/>
      </w:r>
      <w:r>
        <w:tab/>
      </w:r>
      <w:r>
        <w:tab/>
      </w:r>
      <w:r>
        <w:rPr>
          <w:rFonts w:hint="cs"/>
          <w:b/>
          <w:bCs/>
          <w:rtl/>
        </w:rPr>
        <w:t>שרן השכל</w:t>
      </w:r>
      <w:r>
        <w:br/>
      </w:r>
      <w:r>
        <w:rPr>
          <w:rFonts w:hint="cs"/>
          <w:b/>
          <w:bCs/>
          <w:rtl/>
        </w:rPr>
        <w:t xml:space="preserve"> </w:t>
      </w:r>
      <w:r>
        <w:tab/>
      </w:r>
      <w:r>
        <w:tab/>
      </w:r>
      <w:r>
        <w:tab/>
      </w:r>
      <w:r>
        <w:tab/>
      </w:r>
      <w:r>
        <w:rPr>
          <w:rFonts w:hint="cs"/>
          <w:b/>
          <w:bCs/>
          <w:rtl/>
        </w:rPr>
        <w:t>יגאל גואטה</w:t>
      </w:r>
      <w:r>
        <w:br/>
      </w:r>
      <w:r>
        <w:rPr>
          <w:rFonts w:hint="cs"/>
          <w:b/>
          <w:bCs/>
          <w:rtl/>
        </w:rPr>
        <w:t xml:space="preserve"> </w:t>
      </w:r>
      <w:r>
        <w:tab/>
      </w:r>
      <w:r>
        <w:tab/>
      </w:r>
      <w:r>
        <w:tab/>
      </w:r>
      <w:r>
        <w:tab/>
      </w:r>
      <w:r>
        <w:rPr>
          <w:rFonts w:hint="cs"/>
          <w:b/>
          <w:bCs/>
          <w:rtl/>
        </w:rPr>
        <w:t>נאוה בוקר</w:t>
      </w:r>
      <w:r>
        <w:br/>
      </w:r>
      <w:r>
        <w:rPr>
          <w:rFonts w:hint="cs"/>
          <w:b/>
          <w:bCs/>
          <w:rtl/>
        </w:rPr>
        <w:t xml:space="preserve"> </w:t>
      </w:r>
      <w:r>
        <w:tab/>
      </w:r>
      <w:r>
        <w:tab/>
      </w:r>
      <w:r>
        <w:tab/>
      </w:r>
      <w:r>
        <w:tab/>
      </w:r>
      <w:r>
        <w:rPr>
          <w:rFonts w:hint="cs"/>
          <w:b/>
          <w:bCs/>
          <w:rtl/>
        </w:rPr>
        <w:t>מיכל בירן</w:t>
      </w:r>
      <w:r>
        <w:br/>
      </w:r>
      <w:r>
        <w:rPr>
          <w:rFonts w:hint="cs"/>
          <w:b/>
          <w:bCs/>
          <w:rtl/>
        </w:rPr>
        <w:t xml:space="preserve"> </w:t>
      </w:r>
      <w:r>
        <w:tab/>
      </w:r>
      <w:r>
        <w:tab/>
      </w:r>
      <w:r>
        <w:tab/>
      </w:r>
      <w:r>
        <w:tab/>
      </w:r>
      <w:r>
        <w:rPr>
          <w:rFonts w:hint="cs"/>
          <w:b/>
          <w:bCs/>
          <w:rtl/>
        </w:rPr>
        <w:t>יחיאל חיליק בר</w:t>
      </w:r>
      <w:r>
        <w:br/>
      </w:r>
      <w:r>
        <w:rPr>
          <w:rFonts w:hint="cs"/>
          <w:b/>
          <w:bCs/>
          <w:rtl/>
        </w:rPr>
        <w:t xml:space="preserve"> </w:t>
      </w:r>
      <w:r>
        <w:tab/>
      </w:r>
      <w:r>
        <w:tab/>
      </w:r>
      <w:r>
        <w:tab/>
      </w:r>
      <w:r>
        <w:tab/>
      </w:r>
      <w:r>
        <w:rPr>
          <w:rFonts w:hint="cs"/>
          <w:b/>
          <w:bCs/>
          <w:rtl/>
        </w:rPr>
        <w:t>נחמן שי</w:t>
      </w:r>
      <w:r>
        <w:br/>
      </w:r>
      <w:r>
        <w:rPr>
          <w:rFonts w:hint="cs"/>
          <w:b/>
          <w:bCs/>
          <w:rtl/>
        </w:rPr>
        <w:t xml:space="preserve"> </w:t>
      </w:r>
      <w:r>
        <w:tab/>
      </w:r>
      <w:r>
        <w:tab/>
      </w:r>
      <w:r>
        <w:tab/>
      </w:r>
      <w:r>
        <w:tab/>
      </w:r>
      <w:r>
        <w:rPr>
          <w:rFonts w:hint="cs"/>
          <w:b/>
          <w:bCs/>
          <w:rtl/>
        </w:rPr>
        <w:t>זוהיר בהלול</w:t>
      </w:r>
      <w:r>
        <w:br/>
      </w:r>
      <w:r>
        <w:rPr>
          <w:rFonts w:hint="cs"/>
          <w:b/>
          <w:bCs/>
          <w:rtl/>
        </w:rPr>
        <w:t xml:space="preserve"> </w:t>
      </w:r>
      <w:r>
        <w:tab/>
      </w:r>
      <w:r>
        <w:tab/>
      </w:r>
      <w:r>
        <w:tab/>
      </w:r>
      <w:r>
        <w:tab/>
      </w:r>
      <w:r>
        <w:rPr>
          <w:rFonts w:hint="cs"/>
          <w:b/>
          <w:bCs/>
          <w:rtl/>
        </w:rPr>
        <w:t>איתן ברושי</w:t>
      </w:r>
      <w:r>
        <w:br/>
      </w:r>
      <w:r>
        <w:rPr>
          <w:rFonts w:hint="cs"/>
          <w:b/>
          <w:bCs/>
          <w:rtl/>
        </w:rPr>
        <w:t xml:space="preserve"> </w:t>
      </w:r>
      <w:r>
        <w:tab/>
      </w:r>
      <w:r>
        <w:tab/>
      </w:r>
      <w:r>
        <w:tab/>
      </w:r>
      <w:r>
        <w:tab/>
      </w:r>
      <w:r>
        <w:rPr>
          <w:rFonts w:hint="cs"/>
          <w:b/>
          <w:bCs/>
          <w:rtl/>
        </w:rPr>
        <w:t>רויטל סויד</w:t>
      </w:r>
      <w:r>
        <w:br/>
      </w:r>
      <w:r>
        <w:rPr>
          <w:rFonts w:hint="cs"/>
          <w:b/>
          <w:bCs/>
          <w:rtl/>
        </w:rPr>
        <w:t xml:space="preserve"> </w:t>
      </w:r>
      <w:r>
        <w:tab/>
      </w:r>
      <w:r>
        <w:tab/>
      </w:r>
      <w:r>
        <w:tab/>
      </w:r>
      <w:r>
        <w:tab/>
      </w:r>
      <w:r>
        <w:rPr>
          <w:rFonts w:hint="cs"/>
          <w:b/>
          <w:bCs/>
          <w:rtl/>
        </w:rPr>
        <w:t>קסניה סבטלובה</w:t>
      </w:r>
      <w:bookmarkEnd w:id="3"/>
    </w:p>
    <w:p w14:paraId="52300D6E" w14:textId="77777777" w:rsidR="00A31D9F" w:rsidRDefault="00A31D9F" w:rsidP="00A31D9F">
      <w:pPr>
        <w:pStyle w:val="David"/>
        <w:spacing w:before="0" w:line="360" w:lineRule="auto"/>
        <w:ind w:left="3544"/>
        <w:rPr>
          <w:b/>
          <w:bCs/>
          <w:sz w:val="16"/>
          <w:szCs w:val="16"/>
          <w:rtl/>
        </w:rPr>
      </w:pPr>
      <w:bookmarkStart w:id="4" w:name="LGS_Join_List"/>
      <w:r>
        <w:rPr>
          <w:rFonts w:hint="cs"/>
          <w:rtl/>
        </w:rPr>
        <w:t xml:space="preserve"> </w:t>
      </w:r>
      <w:bookmarkEnd w:id="4"/>
      <w:r>
        <w:rPr>
          <w:rFonts w:hint="cs"/>
          <w:rtl/>
        </w:rPr>
        <w:tab/>
      </w:r>
      <w:bookmarkStart w:id="5" w:name="LGS_PM_NamesJoin"/>
      <w:r>
        <w:rPr>
          <w:rFonts w:hint="cs"/>
          <w:rtl/>
        </w:rPr>
        <w:t xml:space="preserve"> </w:t>
      </w:r>
      <w:bookmarkEnd w:id="5"/>
    </w:p>
    <w:p w14:paraId="188025CE" w14:textId="77777777" w:rsidR="00A31D9F" w:rsidRDefault="00A31D9F" w:rsidP="00A31D9F">
      <w:pPr>
        <w:pStyle w:val="David"/>
        <w:spacing w:before="0" w:line="360" w:lineRule="auto"/>
        <w:ind w:left="3544"/>
        <w:rPr>
          <w:sz w:val="4"/>
          <w:szCs w:val="4"/>
          <w:rtl/>
        </w:rPr>
      </w:pPr>
      <w:r>
        <w:t>______________________________________________</w:t>
      </w:r>
      <w:r>
        <w:tab/>
      </w:r>
      <w:r>
        <w:rPr>
          <w:rFonts w:hint="cs"/>
          <w:rtl/>
        </w:rPr>
        <w:tab/>
      </w:r>
      <w:r>
        <w:rPr>
          <w:rFonts w:hint="cs"/>
          <w:rtl/>
        </w:rPr>
        <w:tab/>
      </w:r>
      <w:r>
        <w:rPr>
          <w:rFonts w:hint="cs"/>
          <w:rtl/>
        </w:rPr>
        <w:tab/>
      </w:r>
      <w:r>
        <w:t xml:space="preserve">           </w:t>
      </w:r>
    </w:p>
    <w:p w14:paraId="07371872" w14:textId="77777777" w:rsidR="00A31D9F" w:rsidRDefault="00A31D9F" w:rsidP="00A31D9F">
      <w:pPr>
        <w:pStyle w:val="David"/>
        <w:spacing w:before="0" w:line="240" w:lineRule="auto"/>
        <w:ind w:left="3544"/>
        <w:rPr>
          <w:rtl/>
        </w:rPr>
      </w:pPr>
      <w:r>
        <w:t xml:space="preserve">                                             </w:t>
      </w:r>
      <w:bookmarkStart w:id="6" w:name="Private_Number"/>
      <w:r>
        <w:rPr>
          <w:rFonts w:hint="cs"/>
          <w:rtl/>
        </w:rPr>
        <w:t>פ/3327/20</w:t>
      </w:r>
      <w:bookmarkEnd w:id="6"/>
    </w:p>
    <w:p w14:paraId="67B18143" w14:textId="77777777" w:rsidR="00A31D9F" w:rsidRDefault="00A31D9F" w:rsidP="00A31D9F">
      <w:pPr>
        <w:pStyle w:val="HeadHatzaotHok"/>
        <w:rPr>
          <w:rtl/>
        </w:rPr>
      </w:pPr>
      <w:bookmarkStart w:id="7" w:name="LGS_Subject"/>
      <w:r>
        <w:rPr>
          <w:rFonts w:hint="cs"/>
          <w:rtl/>
        </w:rPr>
        <w:t>הצעת חוק להטמעת מורשת יהדות ספרד והמזרח במערכת החינוך וההשכלה הגבוהה, התשע"ו–2016</w:t>
      </w:r>
      <w:bookmarkEnd w:id="7"/>
    </w:p>
    <w:p w14:paraId="1FB8DBDB" w14:textId="77777777" w:rsidR="00A31D9F" w:rsidRDefault="00A31D9F" w:rsidP="00A31D9F">
      <w:pPr>
        <w:pStyle w:val="HeadHatzaotHok"/>
        <w:rPr>
          <w:rtl/>
        </w:rPr>
      </w:pPr>
    </w:p>
    <w:tbl>
      <w:tblPr>
        <w:bidiVisual/>
        <w:tblW w:w="9640" w:type="dxa"/>
        <w:tblLayout w:type="fixed"/>
        <w:tblCellMar>
          <w:top w:w="57" w:type="dxa"/>
          <w:left w:w="0" w:type="dxa"/>
          <w:bottom w:w="57" w:type="dxa"/>
          <w:right w:w="0" w:type="dxa"/>
        </w:tblCellMar>
        <w:tblLook w:val="01E0" w:firstRow="1" w:lastRow="1" w:firstColumn="1" w:lastColumn="1" w:noHBand="0" w:noVBand="0"/>
      </w:tblPr>
      <w:tblGrid>
        <w:gridCol w:w="1873"/>
        <w:gridCol w:w="624"/>
        <w:gridCol w:w="7143"/>
      </w:tblGrid>
      <w:tr w:rsidR="00A31D9F" w14:paraId="204F069E" w14:textId="77777777" w:rsidTr="00624829">
        <w:trPr>
          <w:cantSplit/>
        </w:trPr>
        <w:tc>
          <w:tcPr>
            <w:tcW w:w="1873" w:type="dxa"/>
            <w:hideMark/>
          </w:tcPr>
          <w:p w14:paraId="11D72559" w14:textId="77777777" w:rsidR="00A31D9F" w:rsidRDefault="00A31D9F">
            <w:pPr>
              <w:pStyle w:val="TableSideHeading"/>
              <w:ind w:right="0"/>
              <w:rPr>
                <w:sz w:val="26"/>
                <w:rtl/>
              </w:rPr>
            </w:pPr>
            <w:r>
              <w:rPr>
                <w:rFonts w:hint="cs"/>
                <w:sz w:val="26"/>
                <w:rtl/>
              </w:rPr>
              <w:t>מטרת החוק</w:t>
            </w:r>
          </w:p>
        </w:tc>
        <w:tc>
          <w:tcPr>
            <w:tcW w:w="624" w:type="dxa"/>
            <w:hideMark/>
          </w:tcPr>
          <w:p w14:paraId="05C07112" w14:textId="77777777" w:rsidR="00A31D9F" w:rsidRDefault="00A31D9F">
            <w:pPr>
              <w:pStyle w:val="TableText"/>
              <w:rPr>
                <w:sz w:val="26"/>
              </w:rPr>
            </w:pPr>
            <w:r>
              <w:rPr>
                <w:rFonts w:hint="cs"/>
                <w:sz w:val="26"/>
                <w:rtl/>
              </w:rPr>
              <w:t>1.</w:t>
            </w:r>
          </w:p>
        </w:tc>
        <w:tc>
          <w:tcPr>
            <w:tcW w:w="7143" w:type="dxa"/>
            <w:hideMark/>
          </w:tcPr>
          <w:p w14:paraId="42BE79AF" w14:textId="77777777" w:rsidR="00A31D9F" w:rsidRDefault="00A31D9F" w:rsidP="00624829">
            <w:pPr>
              <w:pStyle w:val="TableBlock"/>
              <w:rPr>
                <w:sz w:val="26"/>
              </w:rPr>
            </w:pPr>
            <w:r>
              <w:rPr>
                <w:rFonts w:hint="cs"/>
                <w:rtl/>
              </w:rPr>
              <w:t>מטרת חוק זה, להבטיח הטמעה של תכנים לימודיים הקשורים למורשת יהדות ספרד והמזרח במערכת החינוך,</w:t>
            </w:r>
            <w:r>
              <w:rPr>
                <w:rFonts w:hint="cs"/>
                <w:sz w:val="26"/>
                <w:rtl/>
              </w:rPr>
              <w:t xml:space="preserve"> וכן לקדם את המחקר והלימוד האקדמיים של מורשת זו, והכל בשים לב למסקנות הוועדה להעצמת מורשת יהדות ספרד והמזרח במערכת החינוך (ועדת ביטון).</w:t>
            </w:r>
          </w:p>
        </w:tc>
      </w:tr>
      <w:tr w:rsidR="00A31D9F" w14:paraId="6068A261" w14:textId="77777777" w:rsidTr="00624829">
        <w:trPr>
          <w:cantSplit/>
        </w:trPr>
        <w:tc>
          <w:tcPr>
            <w:tcW w:w="1873" w:type="dxa"/>
            <w:hideMark/>
          </w:tcPr>
          <w:p w14:paraId="12BD9F49" w14:textId="3D08DD73" w:rsidR="00A31D9F" w:rsidRDefault="00A31D9F">
            <w:pPr>
              <w:pStyle w:val="TableSideHeading"/>
              <w:rPr>
                <w:sz w:val="26"/>
              </w:rPr>
            </w:pPr>
            <w:r>
              <w:rPr>
                <w:rFonts w:hint="cs"/>
                <w:sz w:val="26"/>
                <w:rtl/>
              </w:rPr>
              <w:t>הקמת מ</w:t>
            </w:r>
            <w:r w:rsidR="00C26BB1">
              <w:rPr>
                <w:rFonts w:hint="cs"/>
                <w:sz w:val="26"/>
                <w:rtl/>
              </w:rPr>
              <w:t>י</w:t>
            </w:r>
            <w:r>
              <w:rPr>
                <w:rFonts w:hint="cs"/>
                <w:sz w:val="26"/>
                <w:rtl/>
              </w:rPr>
              <w:t>נהלת ייעודית</w:t>
            </w:r>
          </w:p>
        </w:tc>
        <w:tc>
          <w:tcPr>
            <w:tcW w:w="624" w:type="dxa"/>
            <w:hideMark/>
          </w:tcPr>
          <w:p w14:paraId="0F947CBA" w14:textId="77777777" w:rsidR="00A31D9F" w:rsidRDefault="00A31D9F">
            <w:pPr>
              <w:pStyle w:val="TableText"/>
              <w:rPr>
                <w:sz w:val="26"/>
              </w:rPr>
            </w:pPr>
            <w:r>
              <w:rPr>
                <w:rFonts w:hint="cs"/>
                <w:sz w:val="26"/>
                <w:rtl/>
              </w:rPr>
              <w:t>2.</w:t>
            </w:r>
          </w:p>
        </w:tc>
        <w:tc>
          <w:tcPr>
            <w:tcW w:w="7143" w:type="dxa"/>
            <w:hideMark/>
          </w:tcPr>
          <w:p w14:paraId="4E81B0CE" w14:textId="79209B34" w:rsidR="00A31D9F" w:rsidRDefault="00A31D9F" w:rsidP="00624829">
            <w:pPr>
              <w:pStyle w:val="TableBlock"/>
              <w:rPr>
                <w:sz w:val="26"/>
              </w:rPr>
            </w:pPr>
            <w:r>
              <w:rPr>
                <w:rFonts w:hint="cs"/>
                <w:sz w:val="26"/>
                <w:rtl/>
              </w:rPr>
              <w:t>במשרד החינוך תוקם מ</w:t>
            </w:r>
            <w:r w:rsidR="00C26BB1">
              <w:rPr>
                <w:rFonts w:hint="cs"/>
                <w:sz w:val="26"/>
                <w:rtl/>
              </w:rPr>
              <w:t>י</w:t>
            </w:r>
            <w:r>
              <w:rPr>
                <w:rFonts w:hint="cs"/>
                <w:sz w:val="26"/>
                <w:rtl/>
              </w:rPr>
              <w:t>נהלת ייעודית להטמעת מורשת יהדות ספרד והמזרח (להלן – המ</w:t>
            </w:r>
            <w:r w:rsidR="00C26BB1">
              <w:rPr>
                <w:rFonts w:hint="cs"/>
                <w:sz w:val="26"/>
                <w:rtl/>
              </w:rPr>
              <w:t>י</w:t>
            </w:r>
            <w:r>
              <w:rPr>
                <w:rFonts w:hint="cs"/>
                <w:sz w:val="26"/>
                <w:rtl/>
              </w:rPr>
              <w:t>נהלת).</w:t>
            </w:r>
          </w:p>
        </w:tc>
      </w:tr>
      <w:tr w:rsidR="00A31D9F" w14:paraId="68FCF3F0" w14:textId="77777777" w:rsidTr="00624829">
        <w:trPr>
          <w:cantSplit/>
        </w:trPr>
        <w:tc>
          <w:tcPr>
            <w:tcW w:w="1873" w:type="dxa"/>
            <w:hideMark/>
          </w:tcPr>
          <w:p w14:paraId="292A5162" w14:textId="72EF1F2F" w:rsidR="00A31D9F" w:rsidRDefault="00A31D9F">
            <w:pPr>
              <w:pStyle w:val="TableSideHeading"/>
              <w:rPr>
                <w:sz w:val="26"/>
              </w:rPr>
            </w:pPr>
            <w:r>
              <w:rPr>
                <w:rFonts w:hint="cs"/>
                <w:sz w:val="26"/>
                <w:rtl/>
              </w:rPr>
              <w:t>תפקידי המ</w:t>
            </w:r>
            <w:r w:rsidR="00C26BB1">
              <w:rPr>
                <w:rFonts w:hint="cs"/>
                <w:sz w:val="26"/>
                <w:rtl/>
              </w:rPr>
              <w:t>י</w:t>
            </w:r>
            <w:r>
              <w:rPr>
                <w:rFonts w:hint="cs"/>
                <w:sz w:val="26"/>
                <w:rtl/>
              </w:rPr>
              <w:t>נהלת</w:t>
            </w:r>
          </w:p>
        </w:tc>
        <w:tc>
          <w:tcPr>
            <w:tcW w:w="624" w:type="dxa"/>
            <w:hideMark/>
          </w:tcPr>
          <w:p w14:paraId="5780F6E4" w14:textId="77777777" w:rsidR="00A31D9F" w:rsidRDefault="00A31D9F">
            <w:pPr>
              <w:pStyle w:val="TableText"/>
              <w:rPr>
                <w:sz w:val="26"/>
              </w:rPr>
            </w:pPr>
            <w:r>
              <w:rPr>
                <w:rFonts w:hint="cs"/>
                <w:sz w:val="26"/>
                <w:rtl/>
              </w:rPr>
              <w:t>3.</w:t>
            </w:r>
          </w:p>
        </w:tc>
        <w:tc>
          <w:tcPr>
            <w:tcW w:w="7143" w:type="dxa"/>
            <w:hideMark/>
          </w:tcPr>
          <w:p w14:paraId="098C5DF3" w14:textId="5192159E" w:rsidR="00A31D9F" w:rsidRDefault="00A31D9F" w:rsidP="00624829">
            <w:pPr>
              <w:pStyle w:val="TableBlock"/>
              <w:rPr>
                <w:sz w:val="26"/>
              </w:rPr>
            </w:pPr>
            <w:r>
              <w:rPr>
                <w:rFonts w:hint="cs"/>
                <w:rtl/>
              </w:rPr>
              <w:t>המ</w:t>
            </w:r>
            <w:r w:rsidR="00C26BB1">
              <w:rPr>
                <w:rFonts w:hint="cs"/>
                <w:rtl/>
              </w:rPr>
              <w:t>י</w:t>
            </w:r>
            <w:r>
              <w:rPr>
                <w:rFonts w:hint="cs"/>
                <w:rtl/>
              </w:rPr>
              <w:t>נהלת תפעל ליישום מטרות חוק זה, ובכלל זה</w:t>
            </w:r>
            <w:r>
              <w:rPr>
                <w:rFonts w:hint="cs"/>
                <w:sz w:val="26"/>
                <w:rtl/>
              </w:rPr>
              <w:t xml:space="preserve"> –</w:t>
            </w:r>
          </w:p>
        </w:tc>
      </w:tr>
      <w:tr w:rsidR="00A31D9F" w14:paraId="76D86A34" w14:textId="77777777" w:rsidTr="00624829">
        <w:trPr>
          <w:cantSplit/>
        </w:trPr>
        <w:tc>
          <w:tcPr>
            <w:tcW w:w="1873" w:type="dxa"/>
          </w:tcPr>
          <w:p w14:paraId="4B273506" w14:textId="77777777" w:rsidR="00A31D9F" w:rsidRDefault="00A31D9F">
            <w:pPr>
              <w:pStyle w:val="TableSideHeading"/>
              <w:rPr>
                <w:sz w:val="26"/>
              </w:rPr>
            </w:pPr>
          </w:p>
        </w:tc>
        <w:tc>
          <w:tcPr>
            <w:tcW w:w="624" w:type="dxa"/>
          </w:tcPr>
          <w:p w14:paraId="3A2A042B" w14:textId="77777777" w:rsidR="00A31D9F" w:rsidRDefault="00A31D9F">
            <w:pPr>
              <w:pStyle w:val="TableText"/>
              <w:rPr>
                <w:sz w:val="26"/>
              </w:rPr>
            </w:pPr>
          </w:p>
        </w:tc>
        <w:tc>
          <w:tcPr>
            <w:tcW w:w="7143" w:type="dxa"/>
            <w:hideMark/>
          </w:tcPr>
          <w:p w14:paraId="78EEA90E" w14:textId="45E26D93" w:rsidR="00A31D9F" w:rsidRDefault="00A31D9F" w:rsidP="00C26BB1">
            <w:pPr>
              <w:pStyle w:val="TableBlock"/>
              <w:rPr>
                <w:sz w:val="26"/>
              </w:rPr>
            </w:pPr>
            <w:r>
              <w:rPr>
                <w:rFonts w:hint="cs"/>
                <w:sz w:val="26"/>
                <w:rtl/>
              </w:rPr>
              <w:t>(1)</w:t>
            </w:r>
            <w:r>
              <w:rPr>
                <w:rFonts w:hint="cs"/>
                <w:sz w:val="26"/>
                <w:rtl/>
              </w:rPr>
              <w:tab/>
              <w:t xml:space="preserve">תעבד, תעדכן ותפיק תכנים במקצועות הנלמדים במערכת החינוך בנושא מורשת יהדות ספרד והמזרח, </w:t>
            </w:r>
            <w:r w:rsidR="00C26BB1">
              <w:rPr>
                <w:rFonts w:hint="cs"/>
                <w:sz w:val="26"/>
                <w:rtl/>
              </w:rPr>
              <w:t>ב</w:t>
            </w:r>
            <w:r>
              <w:rPr>
                <w:rFonts w:hint="cs"/>
                <w:sz w:val="26"/>
                <w:rtl/>
              </w:rPr>
              <w:t>שיתוף פעולה עם היחידות והגורמים המקצועיים האמונים על כך במערכת החינוך;</w:t>
            </w:r>
          </w:p>
        </w:tc>
      </w:tr>
      <w:tr w:rsidR="00A31D9F" w14:paraId="21547251" w14:textId="77777777" w:rsidTr="00624829">
        <w:trPr>
          <w:cantSplit/>
        </w:trPr>
        <w:tc>
          <w:tcPr>
            <w:tcW w:w="1873" w:type="dxa"/>
          </w:tcPr>
          <w:p w14:paraId="676F5149" w14:textId="77777777" w:rsidR="00A31D9F" w:rsidRDefault="00A31D9F">
            <w:pPr>
              <w:pStyle w:val="TableSideHeading"/>
              <w:rPr>
                <w:sz w:val="26"/>
              </w:rPr>
            </w:pPr>
          </w:p>
        </w:tc>
        <w:tc>
          <w:tcPr>
            <w:tcW w:w="624" w:type="dxa"/>
          </w:tcPr>
          <w:p w14:paraId="348E5C39" w14:textId="77777777" w:rsidR="00A31D9F" w:rsidRDefault="00A31D9F">
            <w:pPr>
              <w:pStyle w:val="TableText"/>
              <w:rPr>
                <w:sz w:val="26"/>
              </w:rPr>
            </w:pPr>
          </w:p>
        </w:tc>
        <w:tc>
          <w:tcPr>
            <w:tcW w:w="7143" w:type="dxa"/>
            <w:hideMark/>
          </w:tcPr>
          <w:p w14:paraId="5474D677" w14:textId="77777777" w:rsidR="00A31D9F" w:rsidRDefault="00A31D9F" w:rsidP="00624829">
            <w:pPr>
              <w:pStyle w:val="TableBlock"/>
              <w:rPr>
                <w:sz w:val="26"/>
              </w:rPr>
            </w:pPr>
            <w:r>
              <w:rPr>
                <w:rFonts w:hint="cs"/>
                <w:sz w:val="26"/>
                <w:rtl/>
              </w:rPr>
              <w:t>(2)</w:t>
            </w:r>
            <w:r>
              <w:rPr>
                <w:rFonts w:hint="cs"/>
                <w:sz w:val="26"/>
                <w:rtl/>
              </w:rPr>
              <w:tab/>
              <w:t>תעקוב באופן שיטתי אחר הטעמת התכנים שהופקו לפי פסקה (1) במערכת החינוך;</w:t>
            </w:r>
          </w:p>
        </w:tc>
      </w:tr>
      <w:tr w:rsidR="00A31D9F" w14:paraId="795E7C38" w14:textId="77777777" w:rsidTr="00624829">
        <w:trPr>
          <w:cantSplit/>
        </w:trPr>
        <w:tc>
          <w:tcPr>
            <w:tcW w:w="1873" w:type="dxa"/>
          </w:tcPr>
          <w:p w14:paraId="3FB25429" w14:textId="77777777" w:rsidR="00A31D9F" w:rsidRDefault="00A31D9F">
            <w:pPr>
              <w:pStyle w:val="TableSideHeading"/>
              <w:rPr>
                <w:sz w:val="26"/>
              </w:rPr>
            </w:pPr>
          </w:p>
        </w:tc>
        <w:tc>
          <w:tcPr>
            <w:tcW w:w="624" w:type="dxa"/>
          </w:tcPr>
          <w:p w14:paraId="37536E5B" w14:textId="77777777" w:rsidR="00A31D9F" w:rsidRDefault="00A31D9F">
            <w:pPr>
              <w:pStyle w:val="TableText"/>
              <w:rPr>
                <w:sz w:val="26"/>
              </w:rPr>
            </w:pPr>
          </w:p>
        </w:tc>
        <w:tc>
          <w:tcPr>
            <w:tcW w:w="7143" w:type="dxa"/>
            <w:hideMark/>
          </w:tcPr>
          <w:p w14:paraId="16BD5B26" w14:textId="77777777" w:rsidR="00A31D9F" w:rsidRDefault="00A31D9F" w:rsidP="00624829">
            <w:pPr>
              <w:pStyle w:val="TableBlock"/>
              <w:rPr>
                <w:sz w:val="26"/>
              </w:rPr>
            </w:pPr>
            <w:r>
              <w:rPr>
                <w:rFonts w:hint="cs"/>
                <w:sz w:val="26"/>
                <w:rtl/>
              </w:rPr>
              <w:t>(3)</w:t>
            </w:r>
            <w:r>
              <w:rPr>
                <w:rFonts w:hint="cs"/>
                <w:sz w:val="26"/>
                <w:rtl/>
              </w:rPr>
              <w:tab/>
              <w:t>תארגן הדרכות, סדנאות והשתלמויות לעובדי מערכת החינוך בנושא מורשת יהדות ספרד והמזרח.</w:t>
            </w:r>
          </w:p>
        </w:tc>
      </w:tr>
      <w:tr w:rsidR="00A31D9F" w14:paraId="62D36297" w14:textId="77777777" w:rsidTr="00624829">
        <w:trPr>
          <w:cantSplit/>
        </w:trPr>
        <w:tc>
          <w:tcPr>
            <w:tcW w:w="1873" w:type="dxa"/>
            <w:hideMark/>
          </w:tcPr>
          <w:p w14:paraId="38D0721F" w14:textId="065F4AD9" w:rsidR="00A31D9F" w:rsidRDefault="00A31D9F">
            <w:pPr>
              <w:pStyle w:val="TableSideHeading"/>
              <w:rPr>
                <w:sz w:val="26"/>
              </w:rPr>
            </w:pPr>
            <w:r>
              <w:rPr>
                <w:rFonts w:hint="cs"/>
                <w:sz w:val="26"/>
                <w:rtl/>
              </w:rPr>
              <w:t>תקציב המ</w:t>
            </w:r>
            <w:r w:rsidR="00C26BB1">
              <w:rPr>
                <w:rFonts w:hint="cs"/>
                <w:sz w:val="26"/>
                <w:rtl/>
              </w:rPr>
              <w:t>י</w:t>
            </w:r>
            <w:r>
              <w:rPr>
                <w:rFonts w:hint="cs"/>
                <w:sz w:val="26"/>
                <w:rtl/>
              </w:rPr>
              <w:t>נהלת</w:t>
            </w:r>
          </w:p>
        </w:tc>
        <w:tc>
          <w:tcPr>
            <w:tcW w:w="624" w:type="dxa"/>
            <w:hideMark/>
          </w:tcPr>
          <w:p w14:paraId="2FB6D9D1" w14:textId="77777777" w:rsidR="00A31D9F" w:rsidRDefault="00A31D9F">
            <w:pPr>
              <w:pStyle w:val="TableText"/>
              <w:rPr>
                <w:sz w:val="26"/>
              </w:rPr>
            </w:pPr>
            <w:r>
              <w:rPr>
                <w:rFonts w:hint="cs"/>
                <w:sz w:val="26"/>
                <w:rtl/>
              </w:rPr>
              <w:t>4.</w:t>
            </w:r>
          </w:p>
        </w:tc>
        <w:tc>
          <w:tcPr>
            <w:tcW w:w="7143" w:type="dxa"/>
            <w:hideMark/>
          </w:tcPr>
          <w:p w14:paraId="14CEF681" w14:textId="69CA4EE9" w:rsidR="00A31D9F" w:rsidRDefault="00A31D9F" w:rsidP="00624829">
            <w:pPr>
              <w:pStyle w:val="TableBlock"/>
              <w:rPr>
                <w:sz w:val="26"/>
              </w:rPr>
            </w:pPr>
            <w:r>
              <w:rPr>
                <w:rFonts w:hint="cs"/>
                <w:sz w:val="26"/>
                <w:rtl/>
              </w:rPr>
              <w:t>(א)</w:t>
            </w:r>
            <w:r>
              <w:rPr>
                <w:rFonts w:hint="cs"/>
                <w:sz w:val="26"/>
                <w:rtl/>
              </w:rPr>
              <w:tab/>
              <w:t>תקציב המ</w:t>
            </w:r>
            <w:r w:rsidR="00C26BB1">
              <w:rPr>
                <w:rFonts w:hint="cs"/>
                <w:sz w:val="26"/>
                <w:rtl/>
              </w:rPr>
              <w:t>י</w:t>
            </w:r>
            <w:r>
              <w:rPr>
                <w:rFonts w:hint="cs"/>
                <w:sz w:val="26"/>
                <w:rtl/>
              </w:rPr>
              <w:t>נהלת ייקבע בתחום פעולה נפרד שייוחד לפעילות המ</w:t>
            </w:r>
            <w:r w:rsidR="00C26BB1">
              <w:rPr>
                <w:rFonts w:hint="cs"/>
                <w:sz w:val="26"/>
                <w:rtl/>
              </w:rPr>
              <w:t>י</w:t>
            </w:r>
            <w:r>
              <w:rPr>
                <w:rFonts w:hint="cs"/>
                <w:sz w:val="26"/>
                <w:rtl/>
              </w:rPr>
              <w:t>נהלת בסעיף תקציב משרד החינוך בחוק התקציב השנתי; לעניין זה, "תכנית" ו"סעיף תקציב" – כהגדרתם בחוק תקציב שנתי, כמשמעותו בחוק יסודות התקציב, התשמ"ה–1985</w:t>
            </w:r>
            <w:r>
              <w:rPr>
                <w:rStyle w:val="a6"/>
                <w:sz w:val="26"/>
                <w:rtl/>
              </w:rPr>
              <w:footnoteReference w:id="2"/>
            </w:r>
            <w:r>
              <w:rPr>
                <w:rFonts w:hint="cs"/>
                <w:sz w:val="26"/>
                <w:rtl/>
              </w:rPr>
              <w:t>.</w:t>
            </w:r>
          </w:p>
        </w:tc>
      </w:tr>
      <w:tr w:rsidR="00A31D9F" w14:paraId="300DCC47" w14:textId="77777777" w:rsidTr="00624829">
        <w:trPr>
          <w:cantSplit/>
        </w:trPr>
        <w:tc>
          <w:tcPr>
            <w:tcW w:w="1873" w:type="dxa"/>
          </w:tcPr>
          <w:p w14:paraId="627A2FBE" w14:textId="77777777" w:rsidR="00A31D9F" w:rsidRDefault="00A31D9F">
            <w:pPr>
              <w:pStyle w:val="TableSideHeading"/>
              <w:rPr>
                <w:sz w:val="26"/>
              </w:rPr>
            </w:pPr>
          </w:p>
        </w:tc>
        <w:tc>
          <w:tcPr>
            <w:tcW w:w="624" w:type="dxa"/>
          </w:tcPr>
          <w:p w14:paraId="048673A7" w14:textId="77777777" w:rsidR="00A31D9F" w:rsidRDefault="00A31D9F">
            <w:pPr>
              <w:pStyle w:val="TableText"/>
              <w:rPr>
                <w:rtl/>
              </w:rPr>
            </w:pPr>
          </w:p>
        </w:tc>
        <w:tc>
          <w:tcPr>
            <w:tcW w:w="7143" w:type="dxa"/>
            <w:hideMark/>
          </w:tcPr>
          <w:p w14:paraId="350F8929" w14:textId="5F70E88C" w:rsidR="00A31D9F" w:rsidRDefault="00A31D9F" w:rsidP="00624829">
            <w:pPr>
              <w:pStyle w:val="TableBlock"/>
              <w:rPr>
                <w:rtl/>
              </w:rPr>
            </w:pPr>
            <w:r>
              <w:rPr>
                <w:rFonts w:hint="cs"/>
                <w:rtl/>
              </w:rPr>
              <w:t>(ב)</w:t>
            </w:r>
            <w:r>
              <w:rPr>
                <w:rFonts w:hint="cs"/>
                <w:rtl/>
              </w:rPr>
              <w:tab/>
              <w:t>בחמש השנים הראשונות לפעולתה ייקבע למ</w:t>
            </w:r>
            <w:r w:rsidR="009A5CBC">
              <w:rPr>
                <w:rFonts w:hint="cs"/>
                <w:rtl/>
              </w:rPr>
              <w:t>י</w:t>
            </w:r>
            <w:r>
              <w:rPr>
                <w:rFonts w:hint="cs"/>
                <w:rtl/>
              </w:rPr>
              <w:t>נהלת תקציב שנתי בסך 250 מיליון שקלים חדשים.</w:t>
            </w:r>
          </w:p>
        </w:tc>
      </w:tr>
      <w:tr w:rsidR="00A31D9F" w14:paraId="4E71A73F" w14:textId="77777777" w:rsidTr="00624829">
        <w:trPr>
          <w:cantSplit/>
        </w:trPr>
        <w:tc>
          <w:tcPr>
            <w:tcW w:w="1873" w:type="dxa"/>
            <w:hideMark/>
          </w:tcPr>
          <w:p w14:paraId="1C62863A" w14:textId="5F5494DA" w:rsidR="00A31D9F" w:rsidRDefault="00A31D9F">
            <w:pPr>
              <w:pStyle w:val="TableSideHeading"/>
              <w:rPr>
                <w:sz w:val="26"/>
                <w:rtl/>
              </w:rPr>
            </w:pPr>
            <w:r>
              <w:rPr>
                <w:rFonts w:hint="cs"/>
                <w:sz w:val="26"/>
                <w:rtl/>
              </w:rPr>
              <w:t>עובדי המ</w:t>
            </w:r>
            <w:r w:rsidR="009A5CBC">
              <w:rPr>
                <w:rFonts w:hint="cs"/>
                <w:sz w:val="26"/>
                <w:rtl/>
              </w:rPr>
              <w:t>י</w:t>
            </w:r>
            <w:r>
              <w:rPr>
                <w:rFonts w:hint="cs"/>
                <w:sz w:val="26"/>
                <w:rtl/>
              </w:rPr>
              <w:t>נהלת</w:t>
            </w:r>
          </w:p>
        </w:tc>
        <w:tc>
          <w:tcPr>
            <w:tcW w:w="624" w:type="dxa"/>
            <w:hideMark/>
          </w:tcPr>
          <w:p w14:paraId="0AC42F06" w14:textId="77777777" w:rsidR="00A31D9F" w:rsidRDefault="00A31D9F">
            <w:pPr>
              <w:pStyle w:val="TableText"/>
              <w:rPr>
                <w:sz w:val="26"/>
                <w:rtl/>
              </w:rPr>
            </w:pPr>
            <w:r>
              <w:rPr>
                <w:rFonts w:hint="cs"/>
                <w:sz w:val="26"/>
                <w:rtl/>
              </w:rPr>
              <w:t>5.</w:t>
            </w:r>
          </w:p>
        </w:tc>
        <w:tc>
          <w:tcPr>
            <w:tcW w:w="7143" w:type="dxa"/>
            <w:hideMark/>
          </w:tcPr>
          <w:p w14:paraId="234CA564" w14:textId="4D78EF18" w:rsidR="00A31D9F" w:rsidRDefault="00A31D9F" w:rsidP="00624829">
            <w:pPr>
              <w:pStyle w:val="TableBlock"/>
              <w:rPr>
                <w:sz w:val="26"/>
                <w:rtl/>
              </w:rPr>
            </w:pPr>
            <w:r>
              <w:rPr>
                <w:rFonts w:hint="cs"/>
                <w:sz w:val="26"/>
                <w:rtl/>
              </w:rPr>
              <w:t>(א)</w:t>
            </w:r>
            <w:r>
              <w:rPr>
                <w:rFonts w:hint="cs"/>
                <w:sz w:val="26"/>
                <w:rtl/>
              </w:rPr>
              <w:tab/>
              <w:t>שר החינוך ימנה את ראש המ</w:t>
            </w:r>
            <w:r w:rsidR="009A5CBC">
              <w:rPr>
                <w:rFonts w:hint="cs"/>
                <w:sz w:val="26"/>
                <w:rtl/>
              </w:rPr>
              <w:t>י</w:t>
            </w:r>
            <w:r>
              <w:rPr>
                <w:rFonts w:hint="cs"/>
                <w:sz w:val="26"/>
                <w:rtl/>
              </w:rPr>
              <w:t>נהלת שיהיה עובד המדינה.</w:t>
            </w:r>
          </w:p>
        </w:tc>
      </w:tr>
      <w:tr w:rsidR="00A31D9F" w14:paraId="6D96B27B" w14:textId="77777777" w:rsidTr="00624829">
        <w:trPr>
          <w:cantSplit/>
        </w:trPr>
        <w:tc>
          <w:tcPr>
            <w:tcW w:w="1873" w:type="dxa"/>
          </w:tcPr>
          <w:p w14:paraId="792A0562" w14:textId="77777777" w:rsidR="00A31D9F" w:rsidRDefault="00A31D9F">
            <w:pPr>
              <w:pStyle w:val="TableSideHeading"/>
              <w:rPr>
                <w:sz w:val="26"/>
                <w:rtl/>
              </w:rPr>
            </w:pPr>
          </w:p>
        </w:tc>
        <w:tc>
          <w:tcPr>
            <w:tcW w:w="624" w:type="dxa"/>
          </w:tcPr>
          <w:p w14:paraId="5C1D7736" w14:textId="77777777" w:rsidR="00A31D9F" w:rsidRDefault="00A31D9F">
            <w:pPr>
              <w:pStyle w:val="TableText"/>
              <w:rPr>
                <w:rtl/>
              </w:rPr>
            </w:pPr>
          </w:p>
        </w:tc>
        <w:tc>
          <w:tcPr>
            <w:tcW w:w="7143" w:type="dxa"/>
            <w:hideMark/>
          </w:tcPr>
          <w:p w14:paraId="71734122" w14:textId="1A5EFE04" w:rsidR="00A31D9F" w:rsidRDefault="00A31D9F" w:rsidP="00624829">
            <w:pPr>
              <w:pStyle w:val="TableBlock"/>
              <w:rPr>
                <w:sz w:val="26"/>
                <w:rtl/>
              </w:rPr>
            </w:pPr>
            <w:r>
              <w:rPr>
                <w:rFonts w:hint="cs"/>
                <w:sz w:val="26"/>
                <w:rtl/>
              </w:rPr>
              <w:t>(ב)</w:t>
            </w:r>
            <w:r>
              <w:rPr>
                <w:rFonts w:hint="cs"/>
                <w:sz w:val="26"/>
                <w:rtl/>
              </w:rPr>
              <w:tab/>
              <w:t>ראש המ</w:t>
            </w:r>
            <w:r w:rsidR="009A5CBC">
              <w:rPr>
                <w:rFonts w:hint="cs"/>
                <w:sz w:val="26"/>
                <w:rtl/>
              </w:rPr>
              <w:t>י</w:t>
            </w:r>
            <w:r>
              <w:rPr>
                <w:rFonts w:hint="cs"/>
                <w:sz w:val="26"/>
                <w:rtl/>
              </w:rPr>
              <w:t>נהלת אחראי על ביצוע תפקידי המ</w:t>
            </w:r>
            <w:r w:rsidR="003106F5">
              <w:rPr>
                <w:rFonts w:hint="cs"/>
                <w:sz w:val="26"/>
                <w:rtl/>
              </w:rPr>
              <w:t>י</w:t>
            </w:r>
            <w:r>
              <w:rPr>
                <w:rFonts w:hint="cs"/>
                <w:sz w:val="26"/>
                <w:rtl/>
              </w:rPr>
              <w:t>נהלת לפי סעיף 3, באמצעות עובדי המ</w:t>
            </w:r>
            <w:r w:rsidR="003106F5">
              <w:rPr>
                <w:rFonts w:hint="cs"/>
                <w:sz w:val="26"/>
                <w:rtl/>
              </w:rPr>
              <w:t>י</w:t>
            </w:r>
            <w:r>
              <w:rPr>
                <w:rFonts w:hint="cs"/>
                <w:sz w:val="26"/>
                <w:rtl/>
              </w:rPr>
              <w:t>נהלת.</w:t>
            </w:r>
          </w:p>
        </w:tc>
      </w:tr>
      <w:tr w:rsidR="00A31D9F" w14:paraId="694735CB" w14:textId="77777777" w:rsidTr="00624829">
        <w:trPr>
          <w:cantSplit/>
        </w:trPr>
        <w:tc>
          <w:tcPr>
            <w:tcW w:w="1873" w:type="dxa"/>
            <w:hideMark/>
          </w:tcPr>
          <w:p w14:paraId="4949FFB6" w14:textId="77777777" w:rsidR="00A31D9F" w:rsidRDefault="00A31D9F">
            <w:pPr>
              <w:pStyle w:val="TableSideHeading"/>
              <w:rPr>
                <w:sz w:val="26"/>
                <w:rtl/>
              </w:rPr>
            </w:pPr>
            <w:r>
              <w:rPr>
                <w:rFonts w:hint="cs"/>
                <w:sz w:val="26"/>
                <w:rtl/>
              </w:rPr>
              <w:t>דין וחשבון שנתי</w:t>
            </w:r>
          </w:p>
        </w:tc>
        <w:tc>
          <w:tcPr>
            <w:tcW w:w="624" w:type="dxa"/>
            <w:hideMark/>
          </w:tcPr>
          <w:p w14:paraId="36E3B9AA" w14:textId="77777777" w:rsidR="00A31D9F" w:rsidRDefault="00A31D9F">
            <w:pPr>
              <w:pStyle w:val="TableText"/>
              <w:rPr>
                <w:sz w:val="26"/>
                <w:rtl/>
              </w:rPr>
            </w:pPr>
            <w:r>
              <w:rPr>
                <w:rFonts w:hint="cs"/>
                <w:sz w:val="26"/>
                <w:rtl/>
              </w:rPr>
              <w:t xml:space="preserve">6. </w:t>
            </w:r>
          </w:p>
        </w:tc>
        <w:tc>
          <w:tcPr>
            <w:tcW w:w="7143" w:type="dxa"/>
            <w:hideMark/>
          </w:tcPr>
          <w:p w14:paraId="595692B6" w14:textId="084F52C5" w:rsidR="00A31D9F" w:rsidRDefault="00A31D9F" w:rsidP="00624829">
            <w:pPr>
              <w:pStyle w:val="TableBlock"/>
              <w:rPr>
                <w:sz w:val="26"/>
                <w:rtl/>
              </w:rPr>
            </w:pPr>
            <w:r>
              <w:rPr>
                <w:rFonts w:hint="cs"/>
                <w:sz w:val="26"/>
                <w:rtl/>
              </w:rPr>
              <w:t>המ</w:t>
            </w:r>
            <w:r w:rsidR="009A5CBC">
              <w:rPr>
                <w:rFonts w:hint="cs"/>
                <w:sz w:val="26"/>
                <w:rtl/>
              </w:rPr>
              <w:t>י</w:t>
            </w:r>
            <w:r>
              <w:rPr>
                <w:rFonts w:hint="cs"/>
                <w:sz w:val="26"/>
                <w:rtl/>
              </w:rPr>
              <w:t>נהלת תפרסם דוח שנתי שיפרט את פעולותיה וכן נתונים לגבי יישום מטרות החוק; הדוח יוגש לשר החינוך ויועמד לעיון הציבור.</w:t>
            </w:r>
          </w:p>
        </w:tc>
      </w:tr>
      <w:tr w:rsidR="00A31D9F" w14:paraId="7DB6EEE3" w14:textId="77777777" w:rsidTr="00624829">
        <w:trPr>
          <w:cantSplit/>
        </w:trPr>
        <w:tc>
          <w:tcPr>
            <w:tcW w:w="1873" w:type="dxa"/>
            <w:hideMark/>
          </w:tcPr>
          <w:p w14:paraId="6BE7993D" w14:textId="77777777" w:rsidR="00A31D9F" w:rsidRDefault="00A31D9F">
            <w:pPr>
              <w:pStyle w:val="TableSideHeading"/>
              <w:rPr>
                <w:sz w:val="26"/>
                <w:rtl/>
              </w:rPr>
            </w:pPr>
            <w:r>
              <w:rPr>
                <w:rFonts w:hint="cs"/>
                <w:sz w:val="26"/>
                <w:rtl/>
              </w:rPr>
              <w:t xml:space="preserve">מועצה מלווה </w:t>
            </w:r>
          </w:p>
        </w:tc>
        <w:tc>
          <w:tcPr>
            <w:tcW w:w="624" w:type="dxa"/>
            <w:hideMark/>
          </w:tcPr>
          <w:p w14:paraId="2EEEB9F7" w14:textId="77777777" w:rsidR="00A31D9F" w:rsidRDefault="00A31D9F">
            <w:pPr>
              <w:pStyle w:val="TableText"/>
              <w:rPr>
                <w:sz w:val="26"/>
              </w:rPr>
            </w:pPr>
            <w:r>
              <w:rPr>
                <w:rFonts w:hint="cs"/>
                <w:sz w:val="26"/>
                <w:rtl/>
              </w:rPr>
              <w:t>7.</w:t>
            </w:r>
          </w:p>
        </w:tc>
        <w:tc>
          <w:tcPr>
            <w:tcW w:w="7143" w:type="dxa"/>
            <w:hideMark/>
          </w:tcPr>
          <w:p w14:paraId="1760F580" w14:textId="77777777" w:rsidR="00A31D9F" w:rsidRDefault="00A31D9F" w:rsidP="00624829">
            <w:pPr>
              <w:pStyle w:val="TableBlock"/>
              <w:rPr>
                <w:sz w:val="26"/>
              </w:rPr>
            </w:pPr>
            <w:r>
              <w:rPr>
                <w:rFonts w:hint="cs"/>
                <w:sz w:val="26"/>
                <w:rtl/>
              </w:rPr>
              <w:t>שר החינוך ימנה שלושה אנשי אקדמיה מומחים בעלי שם בתחום יהדות ספרד והמזרח כמועצה מלווה (להלן – המועצה המלווה) לוועדה שהסמיכה המועצה להשכלה גבוהה לענייני תכנון ולתקצוב (להלן – ועדה לתכנון ולתקצוב).</w:t>
            </w:r>
          </w:p>
        </w:tc>
      </w:tr>
      <w:tr w:rsidR="00A31D9F" w14:paraId="3065403B" w14:textId="77777777" w:rsidTr="00624829">
        <w:trPr>
          <w:cantSplit/>
        </w:trPr>
        <w:tc>
          <w:tcPr>
            <w:tcW w:w="1873" w:type="dxa"/>
            <w:hideMark/>
          </w:tcPr>
          <w:p w14:paraId="6DF76DED" w14:textId="77777777" w:rsidR="00A31D9F" w:rsidRDefault="00A31D9F">
            <w:pPr>
              <w:pStyle w:val="TableSideHeading"/>
              <w:rPr>
                <w:sz w:val="26"/>
              </w:rPr>
            </w:pPr>
            <w:r>
              <w:rPr>
                <w:rFonts w:hint="cs"/>
                <w:sz w:val="26"/>
                <w:rtl/>
              </w:rPr>
              <w:t xml:space="preserve">תפקידי המועצה המלווה </w:t>
            </w:r>
          </w:p>
        </w:tc>
        <w:tc>
          <w:tcPr>
            <w:tcW w:w="624" w:type="dxa"/>
            <w:hideMark/>
          </w:tcPr>
          <w:p w14:paraId="484119DA" w14:textId="77777777" w:rsidR="00A31D9F" w:rsidRDefault="00A31D9F">
            <w:pPr>
              <w:pStyle w:val="TableText"/>
              <w:rPr>
                <w:sz w:val="26"/>
                <w:rtl/>
              </w:rPr>
            </w:pPr>
            <w:r>
              <w:rPr>
                <w:rFonts w:hint="cs"/>
                <w:sz w:val="26"/>
                <w:rtl/>
              </w:rPr>
              <w:t xml:space="preserve">8. </w:t>
            </w:r>
          </w:p>
        </w:tc>
        <w:tc>
          <w:tcPr>
            <w:tcW w:w="7143" w:type="dxa"/>
            <w:hideMark/>
          </w:tcPr>
          <w:p w14:paraId="0489AAAC" w14:textId="77777777" w:rsidR="00A31D9F" w:rsidRDefault="00A31D9F" w:rsidP="00624829">
            <w:pPr>
              <w:pStyle w:val="TableBlock"/>
              <w:rPr>
                <w:rtl/>
              </w:rPr>
            </w:pPr>
            <w:r>
              <w:rPr>
                <w:rFonts w:hint="cs"/>
                <w:rtl/>
              </w:rPr>
              <w:t xml:space="preserve">המועצה המלווה תפעל ליישום מטרת חוק זה במוסדות להשכלה גבוהה </w:t>
            </w:r>
            <w:r>
              <w:rPr>
                <w:rFonts w:hint="cs"/>
                <w:sz w:val="26"/>
                <w:rtl/>
              </w:rPr>
              <w:t>כמשמעותם בחוק המועצה להשכלה גבוהה, התשי"ח–1958</w:t>
            </w:r>
            <w:r>
              <w:rPr>
                <w:rStyle w:val="a6"/>
                <w:sz w:val="26"/>
                <w:rtl/>
              </w:rPr>
              <w:footnoteReference w:id="3"/>
            </w:r>
            <w:r>
              <w:rPr>
                <w:rFonts w:hint="cs"/>
                <w:sz w:val="26"/>
                <w:rtl/>
              </w:rPr>
              <w:t>,</w:t>
            </w:r>
            <w:r>
              <w:rPr>
                <w:rFonts w:hint="cs"/>
                <w:rtl/>
              </w:rPr>
              <w:t xml:space="preserve"> ובין היתר תפעל לקידום הנושאים שלהלן</w:t>
            </w:r>
            <w:r>
              <w:rPr>
                <w:rFonts w:hint="cs"/>
                <w:sz w:val="26"/>
                <w:rtl/>
              </w:rPr>
              <w:t xml:space="preserve"> –</w:t>
            </w:r>
          </w:p>
        </w:tc>
      </w:tr>
      <w:tr w:rsidR="00A31D9F" w14:paraId="61AA3091" w14:textId="77777777" w:rsidTr="00624829">
        <w:trPr>
          <w:cantSplit/>
        </w:trPr>
        <w:tc>
          <w:tcPr>
            <w:tcW w:w="1873" w:type="dxa"/>
          </w:tcPr>
          <w:p w14:paraId="375DF6AB" w14:textId="77777777" w:rsidR="00A31D9F" w:rsidRDefault="00A31D9F">
            <w:pPr>
              <w:pStyle w:val="TableSideHeading"/>
              <w:rPr>
                <w:sz w:val="26"/>
                <w:rtl/>
              </w:rPr>
            </w:pPr>
          </w:p>
        </w:tc>
        <w:tc>
          <w:tcPr>
            <w:tcW w:w="624" w:type="dxa"/>
          </w:tcPr>
          <w:p w14:paraId="2ACCD2CB" w14:textId="77777777" w:rsidR="00A31D9F" w:rsidRDefault="00A31D9F">
            <w:pPr>
              <w:pStyle w:val="TableText"/>
              <w:rPr>
                <w:rtl/>
              </w:rPr>
            </w:pPr>
          </w:p>
        </w:tc>
        <w:tc>
          <w:tcPr>
            <w:tcW w:w="7143" w:type="dxa"/>
            <w:hideMark/>
          </w:tcPr>
          <w:p w14:paraId="0EBF72F7" w14:textId="77777777" w:rsidR="00A31D9F" w:rsidRDefault="00A31D9F" w:rsidP="00624829">
            <w:pPr>
              <w:pStyle w:val="TableBlock"/>
              <w:rPr>
                <w:rtl/>
              </w:rPr>
            </w:pPr>
            <w:r>
              <w:rPr>
                <w:rFonts w:hint="cs"/>
                <w:rtl/>
              </w:rPr>
              <w:t>(1)</w:t>
            </w:r>
            <w:r>
              <w:rPr>
                <w:rFonts w:hint="cs"/>
                <w:rtl/>
              </w:rPr>
              <w:tab/>
              <w:t>הענקת תמריצים למחקר בתחומי יהדות ספרד והמזרח;</w:t>
            </w:r>
          </w:p>
        </w:tc>
      </w:tr>
      <w:tr w:rsidR="00A31D9F" w14:paraId="5782349C" w14:textId="77777777" w:rsidTr="00624829">
        <w:trPr>
          <w:cantSplit/>
        </w:trPr>
        <w:tc>
          <w:tcPr>
            <w:tcW w:w="1873" w:type="dxa"/>
          </w:tcPr>
          <w:p w14:paraId="5916056A" w14:textId="77777777" w:rsidR="00A31D9F" w:rsidRDefault="00A31D9F">
            <w:pPr>
              <w:pStyle w:val="TableSideHeading"/>
              <w:rPr>
                <w:sz w:val="26"/>
                <w:rtl/>
              </w:rPr>
            </w:pPr>
          </w:p>
        </w:tc>
        <w:tc>
          <w:tcPr>
            <w:tcW w:w="624" w:type="dxa"/>
          </w:tcPr>
          <w:p w14:paraId="3CDA8C13" w14:textId="77777777" w:rsidR="00A31D9F" w:rsidRDefault="00A31D9F">
            <w:pPr>
              <w:pStyle w:val="TableText"/>
              <w:rPr>
                <w:rtl/>
              </w:rPr>
            </w:pPr>
          </w:p>
        </w:tc>
        <w:tc>
          <w:tcPr>
            <w:tcW w:w="7143" w:type="dxa"/>
            <w:hideMark/>
          </w:tcPr>
          <w:p w14:paraId="273C8334" w14:textId="77777777" w:rsidR="00A31D9F" w:rsidRDefault="00A31D9F" w:rsidP="00624829">
            <w:pPr>
              <w:pStyle w:val="TableBlock"/>
              <w:rPr>
                <w:rtl/>
              </w:rPr>
            </w:pPr>
            <w:r>
              <w:rPr>
                <w:rFonts w:hint="cs"/>
                <w:rtl/>
              </w:rPr>
              <w:t>(2)</w:t>
            </w:r>
            <w:r>
              <w:rPr>
                <w:rFonts w:hint="cs"/>
                <w:rtl/>
              </w:rPr>
              <w:tab/>
              <w:t>פתיחה של מסלולי לימוד ייחודיים בתחומי יהדות ספרד והמזרח.</w:t>
            </w:r>
          </w:p>
        </w:tc>
      </w:tr>
      <w:tr w:rsidR="00A31D9F" w14:paraId="5EDF6362" w14:textId="77777777" w:rsidTr="00624829">
        <w:trPr>
          <w:cantSplit/>
        </w:trPr>
        <w:tc>
          <w:tcPr>
            <w:tcW w:w="1873" w:type="dxa"/>
            <w:hideMark/>
          </w:tcPr>
          <w:p w14:paraId="392932E4" w14:textId="77777777" w:rsidR="00A31D9F" w:rsidRDefault="00A31D9F">
            <w:pPr>
              <w:pStyle w:val="TableSideHeading"/>
              <w:rPr>
                <w:sz w:val="26"/>
                <w:rtl/>
              </w:rPr>
            </w:pPr>
            <w:r>
              <w:rPr>
                <w:rFonts w:hint="cs"/>
                <w:sz w:val="26"/>
                <w:rtl/>
              </w:rPr>
              <w:t>סמכויות המועצה המלווה</w:t>
            </w:r>
          </w:p>
        </w:tc>
        <w:tc>
          <w:tcPr>
            <w:tcW w:w="624" w:type="dxa"/>
            <w:hideMark/>
          </w:tcPr>
          <w:p w14:paraId="7C923615" w14:textId="77777777" w:rsidR="00A31D9F" w:rsidRDefault="00A31D9F">
            <w:pPr>
              <w:pStyle w:val="TableText"/>
              <w:rPr>
                <w:sz w:val="26"/>
                <w:rtl/>
              </w:rPr>
            </w:pPr>
            <w:r>
              <w:rPr>
                <w:rFonts w:hint="cs"/>
                <w:sz w:val="26"/>
                <w:rtl/>
              </w:rPr>
              <w:t xml:space="preserve">9. </w:t>
            </w:r>
          </w:p>
        </w:tc>
        <w:tc>
          <w:tcPr>
            <w:tcW w:w="7143" w:type="dxa"/>
            <w:hideMark/>
          </w:tcPr>
          <w:p w14:paraId="1031BAFE" w14:textId="72312B13" w:rsidR="00A31D9F" w:rsidRDefault="00A31D9F" w:rsidP="00624829">
            <w:pPr>
              <w:pStyle w:val="TableBlock"/>
              <w:rPr>
                <w:sz w:val="26"/>
                <w:rtl/>
              </w:rPr>
            </w:pPr>
            <w:r>
              <w:rPr>
                <w:rFonts w:hint="cs"/>
                <w:sz w:val="26"/>
                <w:rtl/>
              </w:rPr>
              <w:t>חברי המועצה המלווה יהיו רשאים להופיע בישיבות  הוועדה לתכנון ולתקצוב ולהשתתף בדיוניה; לנציג מוסכם מטעם המועצה המלווה תהיה זכות הצבעה בוועדה לתכנון ולתקצוב.</w:t>
            </w:r>
          </w:p>
        </w:tc>
      </w:tr>
      <w:tr w:rsidR="00A31D9F" w14:paraId="3E82AD9B" w14:textId="77777777" w:rsidTr="00624829">
        <w:trPr>
          <w:cantSplit/>
        </w:trPr>
        <w:tc>
          <w:tcPr>
            <w:tcW w:w="1873" w:type="dxa"/>
            <w:hideMark/>
          </w:tcPr>
          <w:p w14:paraId="3AF4A0E3" w14:textId="77777777" w:rsidR="00A31D9F" w:rsidRDefault="00A31D9F">
            <w:pPr>
              <w:pStyle w:val="TableSideHeading"/>
              <w:rPr>
                <w:sz w:val="26"/>
                <w:rtl/>
              </w:rPr>
            </w:pPr>
            <w:r>
              <w:rPr>
                <w:rFonts w:hint="cs"/>
                <w:sz w:val="26"/>
                <w:rtl/>
              </w:rPr>
              <w:lastRenderedPageBreak/>
              <w:t>תחילה</w:t>
            </w:r>
          </w:p>
        </w:tc>
        <w:tc>
          <w:tcPr>
            <w:tcW w:w="624" w:type="dxa"/>
            <w:hideMark/>
          </w:tcPr>
          <w:p w14:paraId="55CCE8B9" w14:textId="77777777" w:rsidR="00A31D9F" w:rsidRDefault="00A31D9F">
            <w:pPr>
              <w:pStyle w:val="TableText"/>
              <w:rPr>
                <w:sz w:val="26"/>
              </w:rPr>
            </w:pPr>
            <w:r>
              <w:rPr>
                <w:rFonts w:hint="cs"/>
                <w:sz w:val="26"/>
                <w:rtl/>
              </w:rPr>
              <w:t>10.</w:t>
            </w:r>
          </w:p>
        </w:tc>
        <w:tc>
          <w:tcPr>
            <w:tcW w:w="7143" w:type="dxa"/>
            <w:hideMark/>
          </w:tcPr>
          <w:p w14:paraId="3108ED41" w14:textId="418214F7" w:rsidR="00A31D9F" w:rsidRDefault="00A31D9F" w:rsidP="00624829">
            <w:pPr>
              <w:pStyle w:val="TableBlock"/>
              <w:rPr>
                <w:sz w:val="26"/>
              </w:rPr>
            </w:pPr>
            <w:r>
              <w:rPr>
                <w:rFonts w:hint="cs"/>
                <w:rtl/>
              </w:rPr>
              <w:t>תחילתו של חוק זה ש</w:t>
            </w:r>
            <w:r w:rsidR="009A5CBC">
              <w:rPr>
                <w:rFonts w:hint="cs"/>
                <w:rtl/>
              </w:rPr>
              <w:t>י</w:t>
            </w:r>
            <w:r>
              <w:rPr>
                <w:rFonts w:hint="cs"/>
                <w:rtl/>
              </w:rPr>
              <w:t>שה חודשים מיום פרסומו; עד ליום התחילה תוקם המ</w:t>
            </w:r>
            <w:r w:rsidR="009A5CBC">
              <w:rPr>
                <w:rFonts w:hint="cs"/>
                <w:rtl/>
              </w:rPr>
              <w:t>י</w:t>
            </w:r>
            <w:r>
              <w:rPr>
                <w:rFonts w:hint="cs"/>
                <w:rtl/>
              </w:rPr>
              <w:t>נהלת ותמונה המועצה המלווה.</w:t>
            </w:r>
          </w:p>
        </w:tc>
      </w:tr>
      <w:tr w:rsidR="00A31D9F" w14:paraId="6AA51187" w14:textId="77777777" w:rsidTr="00624829">
        <w:trPr>
          <w:cantSplit/>
        </w:trPr>
        <w:tc>
          <w:tcPr>
            <w:tcW w:w="1873" w:type="dxa"/>
            <w:hideMark/>
          </w:tcPr>
          <w:p w14:paraId="364AE8BA" w14:textId="77777777" w:rsidR="00A31D9F" w:rsidRDefault="00A31D9F">
            <w:pPr>
              <w:pStyle w:val="TableSideHeading"/>
              <w:rPr>
                <w:sz w:val="26"/>
                <w:rtl/>
              </w:rPr>
            </w:pPr>
            <w:r>
              <w:rPr>
                <w:rFonts w:hint="cs"/>
                <w:sz w:val="26"/>
                <w:rtl/>
              </w:rPr>
              <w:t>ביצוע ותקנות</w:t>
            </w:r>
          </w:p>
        </w:tc>
        <w:tc>
          <w:tcPr>
            <w:tcW w:w="624" w:type="dxa"/>
            <w:hideMark/>
          </w:tcPr>
          <w:p w14:paraId="72CF041B" w14:textId="77777777" w:rsidR="00A31D9F" w:rsidRDefault="00A31D9F">
            <w:pPr>
              <w:pStyle w:val="TableText"/>
              <w:rPr>
                <w:sz w:val="26"/>
                <w:rtl/>
              </w:rPr>
            </w:pPr>
            <w:r>
              <w:rPr>
                <w:rFonts w:hint="cs"/>
                <w:sz w:val="26"/>
                <w:rtl/>
              </w:rPr>
              <w:t>11.</w:t>
            </w:r>
          </w:p>
        </w:tc>
        <w:tc>
          <w:tcPr>
            <w:tcW w:w="7143" w:type="dxa"/>
            <w:hideMark/>
          </w:tcPr>
          <w:p w14:paraId="0ADD662A" w14:textId="77777777" w:rsidR="00A31D9F" w:rsidRDefault="00A31D9F" w:rsidP="00624829">
            <w:pPr>
              <w:pStyle w:val="TableBlock"/>
              <w:rPr>
                <w:sz w:val="26"/>
                <w:rtl/>
              </w:rPr>
            </w:pPr>
            <w:r>
              <w:rPr>
                <w:rFonts w:hint="cs"/>
                <w:sz w:val="26"/>
                <w:rtl/>
              </w:rPr>
              <w:t>שר החינוך ממונה על ביצוע חוק זה והוא רשאי, בהתייעצות עם ועדת החינוך, התרבות והספורט של הכנסת להתקין תקנות לביצועו.</w:t>
            </w:r>
          </w:p>
        </w:tc>
      </w:tr>
    </w:tbl>
    <w:p w14:paraId="599E51B1" w14:textId="77777777" w:rsidR="00A31D9F" w:rsidRDefault="00A31D9F" w:rsidP="00A31D9F">
      <w:pPr>
        <w:pStyle w:val="HeadDivreiHesber"/>
        <w:spacing w:line="276" w:lineRule="auto"/>
        <w:rPr>
          <w:rtl/>
        </w:rPr>
      </w:pPr>
      <w:r>
        <w:rPr>
          <w:rFonts w:hint="cs"/>
          <w:rtl/>
        </w:rPr>
        <w:t>דברי הסבר</w:t>
      </w:r>
    </w:p>
    <w:p w14:paraId="29B0D17D" w14:textId="77777777" w:rsidR="00A31D9F" w:rsidRDefault="00A31D9F" w:rsidP="00A31D9F">
      <w:pPr>
        <w:pStyle w:val="Hesber"/>
        <w:rPr>
          <w:rtl/>
        </w:rPr>
      </w:pPr>
      <w:r>
        <w:rPr>
          <w:rFonts w:hint="cs"/>
          <w:rtl/>
        </w:rPr>
        <w:t>"אני מאמין שהגשת הדוח לא רק למשרד החינוך אלא לכלל הציבור בישראל תפתח שיח אמיתי בשאלת הזהות הישראלית תוך מתן ביטוי לנוכחות המזרחית שהיא חלק אורגני ממנה. שיח כזה יכול להביא לקבלה הדדית של חלקי אוכלוסייה מעדות שונות שלא אחת מתכתשות זו עם זו באמצעי התקשורת ובניסיון מתמשך של הדרה ודעות קדומות" (מתוך דוח ועדת ביטון).</w:t>
      </w:r>
    </w:p>
    <w:p w14:paraId="7F61683F" w14:textId="77777777" w:rsidR="00A31D9F" w:rsidRDefault="00A31D9F" w:rsidP="00A31D9F">
      <w:pPr>
        <w:pStyle w:val="Hesber"/>
        <w:rPr>
          <w:rtl/>
        </w:rPr>
      </w:pPr>
      <w:r>
        <w:rPr>
          <w:rFonts w:hint="cs"/>
          <w:rtl/>
        </w:rPr>
        <w:t xml:space="preserve">ביום 7.7.16 הציגה הוועדה להעצמת מורשת יהדות ספרד והמזרח במערכת החינוך בראשות המשורר ארז ביטון (להלן – ועדת ביטון) את המלצותיה לציבור. בוועדת ביטון פעלו 80 אקדמאים ומומחים מתחומי החינוך, התרבות והרוח, אשר התבקשו לבחון כיצד מתמודדת מערכת החינוך הישראלית עם סוגיות הנוגעות למורשת יהדות ספרד והמזרח. בתום חודשים של דיונים ממושכים ועבודת מחקר מעמיקה, מצאה ועדת ביטון שמערכת החינוך לאורכה ולרוחבה, משלב בית הספר היסודי ועד לאקדמיה, דוחקת לשוליים את המורשת המפוארת של יהדות המזרח. </w:t>
      </w:r>
    </w:p>
    <w:p w14:paraId="56E92FCC" w14:textId="77777777" w:rsidR="00A31D9F" w:rsidRDefault="00A31D9F" w:rsidP="00A31D9F">
      <w:pPr>
        <w:pStyle w:val="Hesber"/>
        <w:rPr>
          <w:rtl/>
        </w:rPr>
      </w:pPr>
      <w:r>
        <w:rPr>
          <w:rFonts w:hint="cs"/>
          <w:rtl/>
        </w:rPr>
        <w:t>ועדת ביטון הגיעה למסקנה שבכל תחומי הידע הנלמדים במערכת החינוך – היסטוריה, ספרות, אומנות ועוד – יש צורך ביצירת תכנית אסטרטגית רב-שנתית שתבטיח שמורשת יהדות ספרד והמזרח תקבל את מקומה הראוי, לצד מורשת עדות ישראל האחרות. שר החינוך, אשר מינה את הוועדה, התייחס למסקנותיה כ"תיקון עוול היסטורי".</w:t>
      </w:r>
    </w:p>
    <w:p w14:paraId="4ADB8923" w14:textId="77777777" w:rsidR="00A31D9F" w:rsidRDefault="00A31D9F" w:rsidP="00A31D9F">
      <w:pPr>
        <w:pStyle w:val="Hesber"/>
        <w:rPr>
          <w:rtl/>
        </w:rPr>
      </w:pPr>
      <w:r>
        <w:rPr>
          <w:rFonts w:hint="cs"/>
          <w:rtl/>
        </w:rPr>
        <w:t>בחברה הישראלית קיימים שסעים עמוקים ומסוכנים בין קבוצות שונות בציבור. שסעים אלה מאיימים לפורר את החברה הישראלית ולהרוס את מה שנבנה בעמל רב לאורך שנים. בהקשר זה, מסקנות ועדת ביטון מהוות קריאת השכמה לציבור ולמנהיגיו, מאחר שהן מפנות לדרך היחידה שבה ניתן לאחות את השסעים – לא באמצעות הסתה, לא באמצעות ביטול הדדי, ולא באמצעות העצמה של רגשות נקם, בידול וקיפוח – אלא באמצעות חינוך עשיר, מתקדם ופלורליסטי, שמזהה ומכבד את העושר והייחודיות של אחת מהקבוצות שמרכיבות את החברה הישראלית.</w:t>
      </w:r>
    </w:p>
    <w:p w14:paraId="6328F05C" w14:textId="77777777" w:rsidR="00A31D9F" w:rsidRDefault="00A31D9F" w:rsidP="00A31D9F">
      <w:pPr>
        <w:pStyle w:val="Hesber"/>
        <w:rPr>
          <w:rtl/>
        </w:rPr>
      </w:pPr>
      <w:r>
        <w:rPr>
          <w:rFonts w:hint="cs"/>
          <w:rtl/>
        </w:rPr>
        <w:t>מטרת הצעת החוק להקים מערך מקצועי להטמעת המורשת וההיסטוריה של יהדות ספרד והמזרח במערכת החינוך ובאקדמיה. הדבר הכרחי משום שהניסיון מלמד שללא עיגון בחקיקה ראשית מסקנות הועדה צפויות להתמסמס ולהישכח. יודגש שמטרת הצעת החוק אינה ליישם את מסקנות הוועדה, הפרוסות על פני מאות עמודים, ככתבן וכלשונן אלא מטרתה לפעול ברוח מסקנות הוועדה, תוך הפעלת שיקול דעת, ביצוע התאמות נדרשות, הפרדה בין עיקר ותפל ורב-שיח תמידי עם הגורמים השונים במערכת החינוך ובאקדמיה. כמו כן, חשוב לציין שהטמעת התכנים צריכה להיעשות בהרמוניה, עד כמה שניתן, עם תכניות הלימודים הקיימות. כך לדוגמא, במסגרת שיעורי ההיסטוריה יש להקצות נתח משמעותי יותר לתולדות יהדות ספרד והמזרח; במסגרת שיעורי ספרות יש ללמד יותר יצירות שמקורן ביהדות ספרד והמזרח, וכדומה.</w:t>
      </w:r>
    </w:p>
    <w:p w14:paraId="3499E1CC" w14:textId="37B0C089" w:rsidR="00A31D9F" w:rsidRDefault="00A31D9F" w:rsidP="00A31D9F">
      <w:pPr>
        <w:pStyle w:val="Hesber"/>
        <w:rPr>
          <w:rtl/>
        </w:rPr>
      </w:pPr>
      <w:r>
        <w:rPr>
          <w:rFonts w:hint="cs"/>
          <w:rtl/>
        </w:rPr>
        <w:t>מוצע להקים במשרד החינוך מ</w:t>
      </w:r>
      <w:r w:rsidR="003106F5">
        <w:rPr>
          <w:rFonts w:hint="cs"/>
          <w:rtl/>
        </w:rPr>
        <w:t>י</w:t>
      </w:r>
      <w:r>
        <w:rPr>
          <w:rFonts w:hint="cs"/>
          <w:rtl/>
        </w:rPr>
        <w:t>נהלת ייעודית, בעלת כלים וסמכויות, שתפקידה להטמיע במערכת החינוך תכנים רלוונטיים למורשת יהדות ספרד והמזרח. המ</w:t>
      </w:r>
      <w:r w:rsidR="003106F5">
        <w:rPr>
          <w:rFonts w:hint="cs"/>
          <w:rtl/>
        </w:rPr>
        <w:t>י</w:t>
      </w:r>
      <w:r>
        <w:rPr>
          <w:rFonts w:hint="cs"/>
          <w:rtl/>
        </w:rPr>
        <w:t xml:space="preserve">נהלת תזכה לתקציב הולם, ותדווח בכל שנה </w:t>
      </w:r>
      <w:r>
        <w:rPr>
          <w:rFonts w:hint="cs"/>
          <w:rtl/>
        </w:rPr>
        <w:lastRenderedPageBreak/>
        <w:t xml:space="preserve">על ההתקדמות בהשגת יעדיה. כדי להבטיח שתהליך דומה יבוצע גם במוסדות להשכלה גבוהה, תוקם לצד המועצה להשכלה גבוהה והוועדה לתכנון ולתקצוב מועצה מלווה שתורכב משלושה מומחים בעלי שם מהאקדמיה </w:t>
      </w:r>
      <w:r>
        <w:rPr>
          <w:rFonts w:hint="cs"/>
          <w:sz w:val="26"/>
          <w:rtl/>
        </w:rPr>
        <w:t>בתחומי יהדות ספרד והמזרח</w:t>
      </w:r>
      <w:r>
        <w:rPr>
          <w:rFonts w:hint="cs"/>
          <w:rtl/>
        </w:rPr>
        <w:t>. מומחים אלה יהיו אמונים על הטמעת תכנים ופיתוח המחקר והלימוד של יהדות ספרד והמזרח במוסדות להשכלה הגבוהה ויהיו שותפים מלאים לדיונים ולקבלת ההחלטות בוועדה לתכנון ותקצוב.</w:t>
      </w:r>
    </w:p>
    <w:p w14:paraId="4E487B3F" w14:textId="20E29451" w:rsidR="00A31D9F" w:rsidRDefault="00A31D9F" w:rsidP="00A31D9F">
      <w:pPr>
        <w:pStyle w:val="Hesber"/>
        <w:rPr>
          <w:rtl/>
        </w:rPr>
      </w:pPr>
      <w:r>
        <w:rPr>
          <w:rFonts w:hint="cs"/>
          <w:rtl/>
        </w:rPr>
        <w:t>כמו כן, מוצע ששר החינוך ימנה את העומד בראש המ</w:t>
      </w:r>
      <w:r w:rsidR="003106F5">
        <w:rPr>
          <w:rFonts w:hint="cs"/>
          <w:rtl/>
        </w:rPr>
        <w:t>י</w:t>
      </w:r>
      <w:r>
        <w:rPr>
          <w:rFonts w:hint="cs"/>
          <w:rtl/>
        </w:rPr>
        <w:t xml:space="preserve">נהלת ואת חברי המועצה המלווה וכן יהיה מוסמך להתקין תקנות לביצוע החוק בהתייעצות עם ועדת החינוך, התרבות והספורט של הכנסת. </w:t>
      </w:r>
    </w:p>
    <w:p w14:paraId="7F6961CB" w14:textId="2F834CED" w:rsidR="00E13C27" w:rsidRDefault="00E13C27" w:rsidP="00A31D9F">
      <w:pPr>
        <w:rPr>
          <w:rtl/>
        </w:rPr>
      </w:pPr>
    </w:p>
    <w:p w14:paraId="3A1B8330" w14:textId="7472366E" w:rsidR="003106F5" w:rsidRDefault="003106F5" w:rsidP="00A31D9F">
      <w:pPr>
        <w:rPr>
          <w:rtl/>
        </w:rPr>
      </w:pPr>
    </w:p>
    <w:p w14:paraId="5B6CB780" w14:textId="77777777" w:rsidR="003106F5" w:rsidRPr="00D73212" w:rsidRDefault="003106F5" w:rsidP="003106F5">
      <w:pPr>
        <w:pStyle w:val="Hesber"/>
        <w:rPr>
          <w:color w:val="auto"/>
          <w:rtl/>
          <w:lang w:eastAsia="en-US"/>
        </w:rPr>
      </w:pPr>
      <w:r w:rsidRPr="00D73212">
        <w:rPr>
          <w:color w:val="auto"/>
          <w:rtl/>
          <w:lang w:eastAsia="en-US"/>
        </w:rPr>
        <w:t>---------------------------------</w:t>
      </w:r>
    </w:p>
    <w:p w14:paraId="74C883B6" w14:textId="77777777" w:rsidR="003106F5" w:rsidRPr="00D73212" w:rsidRDefault="003106F5" w:rsidP="003106F5">
      <w:pPr>
        <w:pStyle w:val="Hesber"/>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4B71D1A1" w14:textId="77777777" w:rsidR="003106F5" w:rsidRPr="00D73212" w:rsidRDefault="003106F5" w:rsidP="003106F5">
      <w:pPr>
        <w:pStyle w:val="Hesber"/>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6883F8B5" w14:textId="77777777" w:rsidR="003106F5" w:rsidRPr="00317312" w:rsidRDefault="003106F5" w:rsidP="003106F5">
      <w:pPr>
        <w:pStyle w:val="Hesber"/>
      </w:pPr>
      <w:r>
        <w:rPr>
          <w:rFonts w:hint="cs"/>
          <w:color w:val="auto"/>
          <w:rtl/>
          <w:lang w:eastAsia="en-US"/>
        </w:rPr>
        <w:t>כ"ח בתמוז</w:t>
      </w:r>
      <w:r w:rsidRPr="00D73212">
        <w:rPr>
          <w:color w:val="auto"/>
          <w:rtl/>
          <w:lang w:eastAsia="en-US"/>
        </w:rPr>
        <w:t xml:space="preserve"> </w:t>
      </w:r>
      <w:r w:rsidRPr="00D73212">
        <w:rPr>
          <w:rFonts w:hint="cs"/>
          <w:color w:val="auto"/>
          <w:rtl/>
          <w:lang w:eastAsia="en-US"/>
        </w:rPr>
        <w:t>התשע</w:t>
      </w:r>
      <w:r w:rsidRPr="00D73212">
        <w:rPr>
          <w:color w:val="auto"/>
          <w:rtl/>
          <w:lang w:eastAsia="en-US"/>
        </w:rPr>
        <w:t>"</w:t>
      </w:r>
      <w:r>
        <w:rPr>
          <w:rFonts w:hint="cs"/>
          <w:color w:val="auto"/>
          <w:rtl/>
          <w:lang w:eastAsia="en-US"/>
        </w:rPr>
        <w:t>ו</w:t>
      </w:r>
      <w:r w:rsidRPr="00D73212">
        <w:rPr>
          <w:color w:val="auto"/>
          <w:rtl/>
          <w:lang w:eastAsia="en-US"/>
        </w:rPr>
        <w:t xml:space="preserve"> – </w:t>
      </w:r>
      <w:r>
        <w:rPr>
          <w:rFonts w:hint="cs"/>
          <w:color w:val="auto"/>
          <w:rtl/>
          <w:lang w:eastAsia="en-US"/>
        </w:rPr>
        <w:t>3.8</w:t>
      </w:r>
      <w:r w:rsidRPr="00D73212">
        <w:rPr>
          <w:color w:val="auto"/>
          <w:rtl/>
          <w:lang w:eastAsia="en-US"/>
        </w:rPr>
        <w:t>.1</w:t>
      </w:r>
      <w:r>
        <w:rPr>
          <w:rFonts w:hint="cs"/>
          <w:color w:val="auto"/>
          <w:rtl/>
          <w:lang w:eastAsia="en-US"/>
        </w:rPr>
        <w:t>6</w:t>
      </w:r>
    </w:p>
    <w:p w14:paraId="29E9352F" w14:textId="77777777" w:rsidR="003106F5" w:rsidRPr="00B15BBC" w:rsidRDefault="003106F5" w:rsidP="003106F5">
      <w:pPr>
        <w:spacing w:before="0" w:line="360" w:lineRule="auto"/>
        <w:ind w:left="340" w:firstLine="0"/>
        <w:rPr>
          <w:rFonts w:ascii="Arial" w:eastAsia="Arial Unicode MS" w:hAnsi="Arial" w:cs="David" w:hint="cs"/>
          <w:snapToGrid w:val="0"/>
          <w:spacing w:val="0"/>
          <w:sz w:val="20"/>
          <w:szCs w:val="26"/>
          <w:rtl/>
        </w:rPr>
      </w:pPr>
    </w:p>
    <w:p w14:paraId="24BCA77D" w14:textId="77777777" w:rsidR="003106F5" w:rsidRPr="00A31D9F" w:rsidRDefault="003106F5" w:rsidP="00A31D9F">
      <w:pPr>
        <w:rPr>
          <w:rtl/>
        </w:rPr>
      </w:pPr>
      <w:bookmarkStart w:id="8" w:name="_GoBack"/>
      <w:bookmarkEnd w:id="8"/>
    </w:p>
    <w:sectPr w:rsidR="003106F5" w:rsidRPr="00A31D9F"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88A69" w14:textId="77777777" w:rsidR="00A942C1" w:rsidRDefault="00A942C1">
      <w:r>
        <w:separator/>
      </w:r>
    </w:p>
  </w:endnote>
  <w:endnote w:type="continuationSeparator" w:id="0">
    <w:p w14:paraId="318F26FB" w14:textId="77777777" w:rsidR="00A942C1" w:rsidRDefault="00A942C1">
      <w:r>
        <w:continuationSeparator/>
      </w:r>
    </w:p>
  </w:endnote>
  <w:endnote w:type="continuationNotice" w:id="1">
    <w:p w14:paraId="6BE48FD5" w14:textId="77777777" w:rsidR="00A942C1" w:rsidRDefault="00A942C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3106F5">
      <w:rPr>
        <w:rStyle w:val="ab"/>
        <w:noProof/>
        <w:rtl/>
      </w:rPr>
      <w:t>3</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7B9F2" w14:textId="77777777" w:rsidR="00A942C1" w:rsidRDefault="00A942C1">
      <w:r>
        <w:separator/>
      </w:r>
    </w:p>
  </w:footnote>
  <w:footnote w:type="continuationSeparator" w:id="0">
    <w:p w14:paraId="3DB92342" w14:textId="77777777" w:rsidR="00A942C1" w:rsidRDefault="00A942C1">
      <w:r>
        <w:continuationSeparator/>
      </w:r>
    </w:p>
  </w:footnote>
  <w:footnote w:type="continuationNotice" w:id="1">
    <w:p w14:paraId="16009878" w14:textId="77777777" w:rsidR="00A942C1" w:rsidRDefault="00A942C1"/>
  </w:footnote>
  <w:footnote w:id="2">
    <w:p w14:paraId="4DACF2FB" w14:textId="77777777" w:rsidR="00A31D9F" w:rsidRDefault="00A31D9F" w:rsidP="00A31D9F">
      <w:pPr>
        <w:pStyle w:val="a4"/>
        <w:rPr>
          <w:rtl/>
        </w:rPr>
      </w:pPr>
      <w:r>
        <w:rPr>
          <w:rStyle w:val="a6"/>
        </w:rPr>
        <w:footnoteRef/>
      </w:r>
      <w:r>
        <w:rPr>
          <w:rFonts w:hint="cs"/>
          <w:rtl/>
        </w:rPr>
        <w:t xml:space="preserve"> ס"ח התשמ"ה, עמ' 60.</w:t>
      </w:r>
    </w:p>
  </w:footnote>
  <w:footnote w:id="3">
    <w:p w14:paraId="7EF271E1" w14:textId="77777777" w:rsidR="00A31D9F" w:rsidRDefault="00A31D9F" w:rsidP="00A31D9F">
      <w:pPr>
        <w:pStyle w:val="a4"/>
      </w:pPr>
      <w:r>
        <w:rPr>
          <w:rStyle w:val="a6"/>
        </w:rPr>
        <w:footnoteRef/>
      </w:r>
      <w:r>
        <w:rPr>
          <w:rFonts w:hint="cs"/>
          <w:rtl/>
        </w:rPr>
        <w:t xml:space="preserve"> </w:t>
      </w:r>
      <w:r>
        <w:rPr>
          <w:rFonts w:hint="cs"/>
          <w:sz w:val="20"/>
          <w:rtl/>
        </w:rPr>
        <w:t>ס"ח התשי"ח, עמ' 191.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C7060D"/>
    <w:multiLevelType w:val="hybridMultilevel"/>
    <w:tmpl w:val="1B562E3C"/>
    <w:lvl w:ilvl="0" w:tplc="686202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0"/>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4C4"/>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106F5"/>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C2959"/>
    <w:rsid w:val="005D51AE"/>
    <w:rsid w:val="00624829"/>
    <w:rsid w:val="0062674B"/>
    <w:rsid w:val="006363B2"/>
    <w:rsid w:val="00644940"/>
    <w:rsid w:val="006818A9"/>
    <w:rsid w:val="006A2D81"/>
    <w:rsid w:val="006C1D0D"/>
    <w:rsid w:val="0070601E"/>
    <w:rsid w:val="00712C72"/>
    <w:rsid w:val="00735FE9"/>
    <w:rsid w:val="00763CAA"/>
    <w:rsid w:val="00765F66"/>
    <w:rsid w:val="0078664F"/>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5CBC"/>
    <w:rsid w:val="009A7257"/>
    <w:rsid w:val="009D6E0A"/>
    <w:rsid w:val="009E1E33"/>
    <w:rsid w:val="00A14672"/>
    <w:rsid w:val="00A26BD6"/>
    <w:rsid w:val="00A31D9F"/>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26BB1"/>
    <w:rsid w:val="00C310EB"/>
    <w:rsid w:val="00C9176A"/>
    <w:rsid w:val="00CF1AA2"/>
    <w:rsid w:val="00D17774"/>
    <w:rsid w:val="00D63620"/>
    <w:rsid w:val="00D8410D"/>
    <w:rsid w:val="00D867D7"/>
    <w:rsid w:val="00DB7060"/>
    <w:rsid w:val="00DE3153"/>
    <w:rsid w:val="00E06736"/>
    <w:rsid w:val="00E13C27"/>
    <w:rsid w:val="00E33BBD"/>
    <w:rsid w:val="00E374F2"/>
    <w:rsid w:val="00E45103"/>
    <w:rsid w:val="00E55A60"/>
    <w:rsid w:val="00E62778"/>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E7CC2A52-7C30-40EF-A06A-B08F5CE6E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829"/>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624829"/>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624829"/>
    <w:rPr>
      <w:sz w:val="36"/>
      <w:szCs w:val="52"/>
    </w:rPr>
  </w:style>
  <w:style w:type="paragraph" w:customStyle="1" w:styleId="Cover3-Haknesset">
    <w:name w:val="Cover 3-Haknesset"/>
    <w:basedOn w:val="Cover1-Reshumot"/>
    <w:rsid w:val="00624829"/>
    <w:rPr>
      <w:b/>
      <w:bCs/>
      <w:spacing w:val="60"/>
    </w:rPr>
  </w:style>
  <w:style w:type="paragraph" w:customStyle="1" w:styleId="Cover4-Date">
    <w:name w:val="Cover 4-Date"/>
    <w:basedOn w:val="a"/>
    <w:rsid w:val="00624829"/>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624829"/>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624829"/>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624829"/>
    <w:pPr>
      <w:spacing w:before="120" w:after="120"/>
    </w:pPr>
    <w:rPr>
      <w:color w:val="FF0000"/>
      <w:w w:val="80"/>
    </w:rPr>
  </w:style>
  <w:style w:type="paragraph" w:styleId="a3">
    <w:name w:val="endnote text"/>
    <w:basedOn w:val="a"/>
    <w:semiHidden/>
    <w:rsid w:val="00624829"/>
    <w:pPr>
      <w:ind w:left="227" w:hanging="227"/>
    </w:pPr>
    <w:rPr>
      <w:sz w:val="14"/>
      <w:szCs w:val="22"/>
    </w:rPr>
  </w:style>
  <w:style w:type="paragraph" w:customStyle="1" w:styleId="TableText">
    <w:name w:val="Table Text"/>
    <w:basedOn w:val="a"/>
    <w:rsid w:val="00624829"/>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624829"/>
  </w:style>
  <w:style w:type="paragraph" w:customStyle="1" w:styleId="TableBlock">
    <w:name w:val="Table Block"/>
    <w:basedOn w:val="TableText"/>
    <w:rsid w:val="00624829"/>
    <w:pPr>
      <w:ind w:right="0"/>
      <w:jc w:val="both"/>
    </w:pPr>
  </w:style>
  <w:style w:type="paragraph" w:customStyle="1" w:styleId="TableHead">
    <w:name w:val="Table Head"/>
    <w:basedOn w:val="TableText"/>
    <w:rsid w:val="00624829"/>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624829"/>
  </w:style>
  <w:style w:type="paragraph" w:customStyle="1" w:styleId="Hesber">
    <w:name w:val="Hesber"/>
    <w:basedOn w:val="a"/>
    <w:rsid w:val="00624829"/>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624829"/>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624829"/>
    <w:rPr>
      <w:vertAlign w:val="superscript"/>
    </w:rPr>
  </w:style>
  <w:style w:type="paragraph" w:customStyle="1" w:styleId="HesberHeading">
    <w:name w:val="Hesber Heading"/>
    <w:basedOn w:val="Hesber"/>
    <w:rsid w:val="00624829"/>
    <w:pPr>
      <w:tabs>
        <w:tab w:val="left" w:pos="624"/>
        <w:tab w:val="left" w:pos="1247"/>
      </w:tabs>
      <w:ind w:firstLine="0"/>
    </w:pPr>
    <w:rPr>
      <w:b/>
      <w:bCs/>
    </w:rPr>
  </w:style>
  <w:style w:type="paragraph" w:customStyle="1" w:styleId="HesberWriters">
    <w:name w:val="Hesber Writers"/>
    <w:basedOn w:val="Hesber"/>
    <w:rsid w:val="00624829"/>
    <w:pPr>
      <w:spacing w:before="120" w:after="6000"/>
      <w:ind w:left="1418" w:firstLine="0"/>
      <w:jc w:val="right"/>
    </w:pPr>
    <w:rPr>
      <w:b/>
      <w:bCs/>
    </w:rPr>
  </w:style>
  <w:style w:type="paragraph" w:customStyle="1" w:styleId="Hesber1st">
    <w:name w:val="Hesber 1st"/>
    <w:basedOn w:val="Hesber"/>
    <w:rsid w:val="00624829"/>
    <w:pPr>
      <w:tabs>
        <w:tab w:val="left" w:pos="680"/>
        <w:tab w:val="left" w:pos="1020"/>
      </w:tabs>
      <w:ind w:firstLine="0"/>
    </w:pPr>
  </w:style>
  <w:style w:type="character" w:styleId="a7">
    <w:name w:val="endnote reference"/>
    <w:basedOn w:val="a0"/>
    <w:semiHidden/>
    <w:rsid w:val="00624829"/>
    <w:rPr>
      <w:vertAlign w:val="superscript"/>
    </w:rPr>
  </w:style>
  <w:style w:type="paragraph" w:customStyle="1" w:styleId="TableBlockOutdent">
    <w:name w:val="Table BlockOutdent"/>
    <w:basedOn w:val="TableBlock"/>
    <w:rsid w:val="00624829"/>
    <w:pPr>
      <w:ind w:left="624" w:hanging="624"/>
    </w:pPr>
  </w:style>
  <w:style w:type="paragraph" w:styleId="a8">
    <w:name w:val="header"/>
    <w:basedOn w:val="a"/>
    <w:rsid w:val="00624829"/>
    <w:pPr>
      <w:tabs>
        <w:tab w:val="center" w:pos="4153"/>
        <w:tab w:val="right" w:pos="8306"/>
      </w:tabs>
    </w:pPr>
  </w:style>
  <w:style w:type="paragraph" w:styleId="a9">
    <w:name w:val="footer"/>
    <w:basedOn w:val="a"/>
    <w:rsid w:val="00624829"/>
    <w:pPr>
      <w:tabs>
        <w:tab w:val="center" w:pos="4153"/>
        <w:tab w:val="right" w:pos="8306"/>
      </w:tabs>
    </w:pPr>
  </w:style>
  <w:style w:type="paragraph" w:customStyle="1" w:styleId="HeadDivreiHesber">
    <w:name w:val="Head DivreiHesber"/>
    <w:basedOn w:val="a"/>
    <w:rsid w:val="00624829"/>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624829"/>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624829"/>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5C2959"/>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848370">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DD304-1C17-485D-B467-CEF0E87B9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purl.org/dc/terms/"/>
    <ds:schemaRef ds:uri="http://purl.org/dc/dcmitype/"/>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B83DF9BA-8D89-4C53-BBBA-F0E0F45D9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984</Words>
  <Characters>4925</Characters>
  <Application>Microsoft Office Word</Application>
  <DocSecurity>0</DocSecurity>
  <Lines>41</Lines>
  <Paragraphs>11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5898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מיכל דיבנר כרמל</cp:lastModifiedBy>
  <cp:revision>9</cp:revision>
  <cp:lastPrinted>2013-07-04T08:25:00Z</cp:lastPrinted>
  <dcterms:created xsi:type="dcterms:W3CDTF">2015-04-20T09:58:00Z</dcterms:created>
  <dcterms:modified xsi:type="dcterms:W3CDTF">2016-08-02T11:09:00Z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2006210</vt:r8>
  </property>
</Properties>
</file>