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2006097</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A" w14:textId="3FECF2F1" w:rsidR="00E13C27" w:rsidRPr="00CF1AA2" w:rsidRDefault="008F6665" w:rsidP="00810971">
      <w:pPr>
        <w:pStyle w:val="David"/>
        <w:spacing w:line="360" w:lineRule="auto"/>
        <w:ind w:left="3544"/>
        <w:rPr>
          <w:b/>
          <w:bCs/>
          <w:sz w:val="16"/>
          <w:szCs w:val="16"/>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יואב קיש</w:t>
      </w:r>
      <w:r>
        <w:br/>
      </w:r>
      <w:r>
        <w:rPr>
          <w:rFonts w:hint="cs"/>
          <w:b/>
          <w:bCs/>
          <w:rtl/>
        </w:rPr>
        <w:t xml:space="preserve"> </w:t>
      </w:r>
      <w:r>
        <w:tab/>
      </w:r>
      <w:r>
        <w:tab/>
      </w:r>
      <w:r>
        <w:tab/>
      </w:r>
      <w:r>
        <w:tab/>
      </w:r>
      <w:r>
        <w:rPr>
          <w:rFonts w:hint="cs"/>
          <w:b/>
          <w:bCs/>
          <w:rtl/>
        </w:rPr>
        <w:t>בצלאל סמוטריץ'</w:t>
      </w:r>
      <w:r>
        <w:br/>
      </w:r>
      <w:r>
        <w:rPr>
          <w:rFonts w:hint="cs"/>
          <w:b/>
          <w:bCs/>
          <w:rtl/>
        </w:rPr>
        <w:t xml:space="preserve"> </w:t>
      </w:r>
      <w:r>
        <w:tab/>
      </w:r>
      <w:r>
        <w:tab/>
      </w:r>
      <w:r>
        <w:tab/>
      </w:r>
      <w:r>
        <w:tab/>
      </w:r>
      <w:r>
        <w:rPr>
          <w:rFonts w:hint="cs"/>
          <w:b/>
          <w:bCs/>
          <w:rtl/>
        </w:rPr>
        <w:t>אלי כהן</w:t>
      </w:r>
      <w:r>
        <w:br/>
      </w:r>
      <w:r>
        <w:rPr>
          <w:rFonts w:hint="cs"/>
          <w:b/>
          <w:bCs/>
          <w:rtl/>
        </w:rPr>
        <w:t xml:space="preserve"> </w:t>
      </w:r>
      <w:r>
        <w:tab/>
      </w:r>
      <w:r>
        <w:tab/>
      </w:r>
      <w:r>
        <w:tab/>
      </w:r>
      <w:r>
        <w:tab/>
      </w:r>
      <w:r>
        <w:rPr>
          <w:rFonts w:hint="cs"/>
          <w:b/>
          <w:bCs/>
          <w:rtl/>
        </w:rPr>
        <w:t>רוברט אילטוב</w:t>
      </w:r>
      <w:r>
        <w:br/>
      </w:r>
      <w:r>
        <w:rPr>
          <w:rFonts w:hint="cs"/>
          <w:b/>
          <w:bCs/>
          <w:rtl/>
        </w:rPr>
        <w:t xml:space="preserve"> </w:t>
      </w:r>
      <w:r>
        <w:tab/>
      </w:r>
      <w:r>
        <w:tab/>
      </w:r>
      <w:r>
        <w:tab/>
      </w:r>
      <w:r>
        <w:tab/>
      </w:r>
      <w:r>
        <w:rPr>
          <w:rFonts w:hint="cs"/>
          <w:b/>
          <w:bCs/>
          <w:rtl/>
        </w:rPr>
        <w:t>עודד פורר</w:t>
      </w:r>
      <w:r>
        <w:br/>
      </w:r>
      <w:r>
        <w:rPr>
          <w:rFonts w:hint="cs"/>
          <w:b/>
          <w:bCs/>
          <w:rtl/>
        </w:rPr>
        <w:t xml:space="preserve"> </w:t>
      </w:r>
      <w:r>
        <w:tab/>
      </w:r>
      <w:r>
        <w:tab/>
      </w:r>
      <w:r>
        <w:tab/>
      </w:r>
      <w:r>
        <w:tab/>
      </w:r>
      <w:r>
        <w:rPr>
          <w:rFonts w:hint="cs"/>
          <w:b/>
          <w:bCs/>
          <w:rtl/>
        </w:rPr>
        <w:t>יואב בן צור</w:t>
      </w:r>
      <w:r>
        <w:br/>
      </w:r>
      <w:r>
        <w:rPr>
          <w:rFonts w:hint="cs"/>
          <w:b/>
          <w:bCs/>
          <w:rtl/>
        </w:rPr>
        <w:t xml:space="preserve"> </w:t>
      </w:r>
      <w:r>
        <w:tab/>
      </w:r>
      <w:r>
        <w:tab/>
      </w:r>
      <w:r>
        <w:tab/>
      </w:r>
      <w:r>
        <w:tab/>
      </w:r>
      <w:r>
        <w:rPr>
          <w:rFonts w:hint="cs"/>
          <w:b/>
          <w:bCs/>
          <w:rtl/>
        </w:rPr>
        <w:t>רועי פולקמן</w:t>
      </w:r>
      <w:r>
        <w:br/>
      </w:r>
      <w:r>
        <w:rPr>
          <w:rFonts w:hint="cs"/>
          <w:b/>
          <w:bCs/>
          <w:rtl/>
        </w:rPr>
        <w:t xml:space="preserve"> </w:t>
      </w:r>
      <w:r>
        <w:tab/>
      </w:r>
      <w:r>
        <w:tab/>
      </w:r>
      <w:r>
        <w:tab/>
      </w:r>
      <w:r>
        <w:tab/>
      </w:r>
      <w:r>
        <w:rPr>
          <w:rFonts w:hint="cs"/>
          <w:b/>
          <w:bCs/>
          <w:rtl/>
        </w:rPr>
        <w:t>שולי מועלם-רפאלי</w:t>
      </w:r>
      <w:r>
        <w:br/>
      </w:r>
      <w:r>
        <w:rPr>
          <w:rFonts w:hint="cs"/>
          <w:b/>
          <w:bCs/>
          <w:rtl/>
        </w:rPr>
        <w:t xml:space="preserve"> </w:t>
      </w:r>
      <w:r>
        <w:tab/>
      </w:r>
      <w:r>
        <w:tab/>
      </w:r>
      <w:r>
        <w:tab/>
      </w:r>
      <w:r>
        <w:tab/>
      </w:r>
      <w:r>
        <w:rPr>
          <w:rFonts w:hint="cs"/>
          <w:b/>
          <w:bCs/>
          <w:rtl/>
        </w:rPr>
        <w:t>יצחק וקנין</w:t>
      </w:r>
      <w:r>
        <w:br/>
      </w:r>
      <w:r>
        <w:rPr>
          <w:rFonts w:hint="cs"/>
          <w:b/>
          <w:bCs/>
          <w:rtl/>
        </w:rPr>
        <w:t xml:space="preserve"> </w:t>
      </w:r>
      <w:r>
        <w:tab/>
      </w:r>
      <w:r>
        <w:tab/>
      </w:r>
      <w:r>
        <w:tab/>
      </w:r>
      <w:r>
        <w:tab/>
      </w:r>
      <w:r>
        <w:rPr>
          <w:rFonts w:hint="cs"/>
          <w:b/>
          <w:bCs/>
          <w:rtl/>
        </w:rPr>
        <w:t>דוד ביטן</w:t>
      </w:r>
      <w:bookmarkStart w:id="4" w:name="LGS_Join_List"/>
      <w:bookmarkEnd w:id="3"/>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פ/3244/20</w:t>
      </w:r>
      <w:bookmarkEnd w:id="6"/>
    </w:p>
    <w:p w14:paraId="7F6961AC" w14:textId="77777777" w:rsidR="00E13C27" w:rsidRDefault="00E13C27" w:rsidP="00E13C27">
      <w:pPr>
        <w:spacing w:before="0" w:line="360" w:lineRule="auto"/>
        <w:ind w:left="2880" w:firstLine="720"/>
        <w:rPr>
          <w:rFonts w:cs="David"/>
          <w:sz w:val="26"/>
          <w:szCs w:val="26"/>
          <w:rtl/>
        </w:rPr>
      </w:pPr>
    </w:p>
    <w:p w14:paraId="7F6961AD" w14:textId="7D5CF1BC" w:rsidR="00E13C27" w:rsidRDefault="00A443CF" w:rsidP="002B7668">
      <w:pPr>
        <w:pStyle w:val="HeadHatzaotHok"/>
        <w:rPr>
          <w:rtl/>
        </w:rPr>
      </w:pPr>
      <w:bookmarkStart w:id="7" w:name="LGS_Subject"/>
      <w:r>
        <w:rPr>
          <w:rFonts w:hint="cs"/>
          <w:rtl/>
        </w:rPr>
        <w:t>הצעת חוק ריבונות מעלה אדומים, התשע"ו</w:t>
      </w:r>
      <w:r w:rsidR="007E1AE5">
        <w:rPr>
          <w:rtl/>
        </w:rPr>
        <w:t>–</w:t>
      </w:r>
      <w:r>
        <w:rPr>
          <w:rFonts w:hint="cs"/>
          <w:rtl/>
        </w:rPr>
        <w:t>2016</w:t>
      </w:r>
      <w:bookmarkEnd w:id="7"/>
    </w:p>
    <w:p w14:paraId="57810132" w14:textId="77777777" w:rsidR="007E1AE5" w:rsidRPr="00F67051" w:rsidRDefault="007E1AE5" w:rsidP="0021633A">
      <w:pPr>
        <w:pStyle w:val="HeadHatzaotHok"/>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3"/>
      </w:tblGrid>
      <w:tr w:rsidR="00896293" w14:paraId="7387D9CC" w14:textId="77777777" w:rsidTr="007E1AE5">
        <w:trPr>
          <w:cantSplit/>
        </w:trPr>
        <w:tc>
          <w:tcPr>
            <w:tcW w:w="1871" w:type="dxa"/>
          </w:tcPr>
          <w:p w14:paraId="3A4F2BA5" w14:textId="77777777" w:rsidR="00896293" w:rsidRDefault="00896293" w:rsidP="00D22BD9">
            <w:pPr>
              <w:pStyle w:val="TableSideHeading"/>
              <w:rPr>
                <w:rtl/>
              </w:rPr>
            </w:pPr>
            <w:r>
              <w:rPr>
                <w:rFonts w:hint="cs"/>
                <w:rtl/>
              </w:rPr>
              <w:t>החלת המשפט</w:t>
            </w:r>
          </w:p>
        </w:tc>
        <w:tc>
          <w:tcPr>
            <w:tcW w:w="624" w:type="dxa"/>
          </w:tcPr>
          <w:p w14:paraId="0A4A1B8E" w14:textId="77777777" w:rsidR="00896293" w:rsidRDefault="00896293" w:rsidP="00D22BD9">
            <w:pPr>
              <w:pStyle w:val="TableText"/>
              <w:rPr>
                <w:rtl/>
              </w:rPr>
            </w:pPr>
            <w:r>
              <w:rPr>
                <w:rtl/>
              </w:rPr>
              <w:t>1.</w:t>
            </w:r>
          </w:p>
        </w:tc>
        <w:tc>
          <w:tcPr>
            <w:tcW w:w="7143" w:type="dxa"/>
          </w:tcPr>
          <w:p w14:paraId="580FDC6B" w14:textId="04E8EB75" w:rsidR="00896293" w:rsidRPr="007E1AE5" w:rsidRDefault="00896293" w:rsidP="007E1AE5">
            <w:pPr>
              <w:pStyle w:val="TableBlock"/>
              <w:rPr>
                <w:rtl/>
              </w:rPr>
            </w:pPr>
            <w:r w:rsidRPr="007E1AE5">
              <w:rPr>
                <w:rtl/>
              </w:rPr>
              <w:t>המשפט, השיפוט והמ</w:t>
            </w:r>
            <w:r w:rsidRPr="007E1AE5">
              <w:rPr>
                <w:rFonts w:hint="cs"/>
                <w:rtl/>
              </w:rPr>
              <w:t>י</w:t>
            </w:r>
            <w:r w:rsidR="000C1950">
              <w:rPr>
                <w:rtl/>
              </w:rPr>
              <w:t>נהל של מדינ</w:t>
            </w:r>
            <w:r w:rsidR="000C1950">
              <w:rPr>
                <w:rFonts w:hint="cs"/>
                <w:rtl/>
              </w:rPr>
              <w:t>ת ישראל</w:t>
            </w:r>
            <w:r w:rsidRPr="007E1AE5">
              <w:rPr>
                <w:rtl/>
              </w:rPr>
              <w:t xml:space="preserve"> יחולו בשטח </w:t>
            </w:r>
            <w:r w:rsidRPr="007E1AE5">
              <w:rPr>
                <w:rFonts w:hint="cs"/>
                <w:rtl/>
              </w:rPr>
              <w:t>מעלה אדומים</w:t>
            </w:r>
            <w:r w:rsidRPr="007E1AE5">
              <w:rPr>
                <w:rtl/>
              </w:rPr>
              <w:t xml:space="preserve"> כמתואר בתוספת</w:t>
            </w:r>
            <w:r w:rsidRPr="007E1AE5">
              <w:rPr>
                <w:rFonts w:hint="cs"/>
                <w:rtl/>
              </w:rPr>
              <w:t>.</w:t>
            </w:r>
          </w:p>
        </w:tc>
      </w:tr>
      <w:tr w:rsidR="00896293" w14:paraId="2ADAB7CE" w14:textId="77777777" w:rsidTr="007E1AE5">
        <w:trPr>
          <w:cantSplit/>
        </w:trPr>
        <w:tc>
          <w:tcPr>
            <w:tcW w:w="1871" w:type="dxa"/>
          </w:tcPr>
          <w:p w14:paraId="6DD8E91E" w14:textId="77777777" w:rsidR="00896293" w:rsidRDefault="00896293" w:rsidP="00D22BD9">
            <w:pPr>
              <w:pStyle w:val="TableSideHeading"/>
              <w:rPr>
                <w:rtl/>
              </w:rPr>
            </w:pPr>
            <w:r>
              <w:rPr>
                <w:rFonts w:hint="cs"/>
                <w:rtl/>
              </w:rPr>
              <w:t xml:space="preserve">ביצוע ותקנות </w:t>
            </w:r>
          </w:p>
        </w:tc>
        <w:tc>
          <w:tcPr>
            <w:tcW w:w="624" w:type="dxa"/>
          </w:tcPr>
          <w:p w14:paraId="357406EB" w14:textId="6A51DDE8" w:rsidR="00896293" w:rsidRDefault="000C1950" w:rsidP="00D22BD9">
            <w:pPr>
              <w:pStyle w:val="TableText"/>
              <w:rPr>
                <w:rtl/>
              </w:rPr>
            </w:pPr>
            <w:r>
              <w:rPr>
                <w:rFonts w:hint="cs"/>
                <w:rtl/>
              </w:rPr>
              <w:t>2</w:t>
            </w:r>
            <w:r w:rsidR="00896293">
              <w:rPr>
                <w:rtl/>
              </w:rPr>
              <w:t>.</w:t>
            </w:r>
          </w:p>
        </w:tc>
        <w:tc>
          <w:tcPr>
            <w:tcW w:w="7143" w:type="dxa"/>
          </w:tcPr>
          <w:p w14:paraId="099B6E14" w14:textId="07591B72" w:rsidR="00D85296" w:rsidRPr="007E1AE5" w:rsidRDefault="00896293" w:rsidP="00955D49">
            <w:pPr>
              <w:pStyle w:val="TableBlock"/>
              <w:rPr>
                <w:rtl/>
              </w:rPr>
            </w:pPr>
            <w:r w:rsidRPr="007E1AE5">
              <w:rPr>
                <w:rFonts w:hint="cs"/>
                <w:rtl/>
              </w:rPr>
              <w:t>ש</w:t>
            </w:r>
            <w:r w:rsidRPr="007E1AE5">
              <w:rPr>
                <w:rtl/>
              </w:rPr>
              <w:t xml:space="preserve">ר הפנים ממונה על ביצוע חוק זה והוא רשאי, בהתייעצות עם שר המשפטים </w:t>
            </w:r>
            <w:r w:rsidRPr="007E1AE5">
              <w:rPr>
                <w:rFonts w:hint="cs"/>
                <w:rtl/>
              </w:rPr>
              <w:t xml:space="preserve">ובאישור ועדת הפנים </w:t>
            </w:r>
            <w:r w:rsidR="001F1D45">
              <w:rPr>
                <w:rFonts w:hint="cs"/>
                <w:rtl/>
              </w:rPr>
              <w:t xml:space="preserve">והגנת הסביבה </w:t>
            </w:r>
            <w:r w:rsidRPr="007E1AE5">
              <w:rPr>
                <w:rFonts w:hint="cs"/>
                <w:rtl/>
              </w:rPr>
              <w:t xml:space="preserve">של הכנסת, </w:t>
            </w:r>
            <w:r w:rsidRPr="007E1AE5">
              <w:rPr>
                <w:rtl/>
              </w:rPr>
              <w:t>להתקין תקנות בכל הנוגע לביצועו</w:t>
            </w:r>
            <w:r w:rsidR="00955D49">
              <w:rPr>
                <w:rFonts w:hint="cs"/>
                <w:rtl/>
              </w:rPr>
              <w:t>, לרבות בעניין</w:t>
            </w:r>
            <w:r w:rsidRPr="007E1AE5">
              <w:rPr>
                <w:rtl/>
              </w:rPr>
              <w:t xml:space="preserve"> הוראות מעבר והוראות בדבר המשך תוקפ</w:t>
            </w:r>
            <w:r w:rsidR="00302FAC">
              <w:rPr>
                <w:rFonts w:hint="cs"/>
                <w:rtl/>
              </w:rPr>
              <w:t>ם</w:t>
            </w:r>
            <w:r w:rsidRPr="007E1AE5">
              <w:rPr>
                <w:rtl/>
              </w:rPr>
              <w:t xml:space="preserve"> של תקנות, צווים, הוראות מינהל וזכויות וחובות אשר היו בתוקף </w:t>
            </w:r>
            <w:r w:rsidRPr="007E1AE5">
              <w:rPr>
                <w:rFonts w:hint="cs"/>
                <w:rtl/>
              </w:rPr>
              <w:t>במעלה אדומים</w:t>
            </w:r>
            <w:r w:rsidRPr="007E1AE5">
              <w:rPr>
                <w:rtl/>
              </w:rPr>
              <w:t xml:space="preserve"> ערב תחילתו של חוק זה.</w:t>
            </w:r>
            <w:r w:rsidR="007E1AE5" w:rsidRPr="007E1AE5">
              <w:rPr>
                <w:rtl/>
              </w:rPr>
              <w:t xml:space="preserve">   </w:t>
            </w:r>
          </w:p>
        </w:tc>
      </w:tr>
      <w:tr w:rsidR="00D85296" w14:paraId="19610700" w14:textId="77777777" w:rsidTr="007E1AE5">
        <w:trPr>
          <w:cantSplit/>
        </w:trPr>
        <w:tc>
          <w:tcPr>
            <w:tcW w:w="1871" w:type="dxa"/>
          </w:tcPr>
          <w:p w14:paraId="33B2F9A9" w14:textId="77777777" w:rsidR="00D85296" w:rsidRDefault="00D85296" w:rsidP="00D22BD9">
            <w:pPr>
              <w:pStyle w:val="TableSideHeading"/>
              <w:rPr>
                <w:rtl/>
              </w:rPr>
            </w:pPr>
          </w:p>
        </w:tc>
        <w:tc>
          <w:tcPr>
            <w:tcW w:w="624" w:type="dxa"/>
          </w:tcPr>
          <w:p w14:paraId="74208E73" w14:textId="77777777" w:rsidR="00D85296" w:rsidRDefault="00D85296" w:rsidP="00D22BD9">
            <w:pPr>
              <w:pStyle w:val="TableText"/>
              <w:rPr>
                <w:rtl/>
              </w:rPr>
            </w:pPr>
          </w:p>
        </w:tc>
        <w:tc>
          <w:tcPr>
            <w:tcW w:w="7143" w:type="dxa"/>
          </w:tcPr>
          <w:p w14:paraId="2005CB9D" w14:textId="33710BE0" w:rsidR="00D85296" w:rsidRPr="007E1AE5" w:rsidRDefault="00D85296" w:rsidP="00D85296">
            <w:pPr>
              <w:pStyle w:val="TableHead"/>
              <w:rPr>
                <w:rtl/>
              </w:rPr>
            </w:pPr>
            <w:r>
              <w:rPr>
                <w:rFonts w:hint="cs"/>
                <w:rtl/>
              </w:rPr>
              <w:t>תוספת</w:t>
            </w:r>
            <w:r>
              <w:rPr>
                <w:rStyle w:val="a5"/>
                <w:rtl/>
              </w:rPr>
              <w:footnoteReference w:customMarkFollows="1" w:id="2"/>
              <w:t>*</w:t>
            </w:r>
          </w:p>
        </w:tc>
      </w:tr>
      <w:tr w:rsidR="00D85296" w14:paraId="75F23333" w14:textId="77777777" w:rsidTr="007E1AE5">
        <w:trPr>
          <w:cantSplit/>
        </w:trPr>
        <w:tc>
          <w:tcPr>
            <w:tcW w:w="1871" w:type="dxa"/>
          </w:tcPr>
          <w:p w14:paraId="33400E3B" w14:textId="77777777" w:rsidR="00D85296" w:rsidRDefault="00D85296" w:rsidP="00D22BD9">
            <w:pPr>
              <w:pStyle w:val="TableSideHeading"/>
              <w:rPr>
                <w:rtl/>
              </w:rPr>
            </w:pPr>
          </w:p>
        </w:tc>
        <w:tc>
          <w:tcPr>
            <w:tcW w:w="624" w:type="dxa"/>
          </w:tcPr>
          <w:p w14:paraId="3B6EBAAF" w14:textId="77777777" w:rsidR="00D85296" w:rsidRDefault="00D85296" w:rsidP="00D22BD9">
            <w:pPr>
              <w:pStyle w:val="TableText"/>
              <w:rPr>
                <w:rtl/>
              </w:rPr>
            </w:pPr>
          </w:p>
        </w:tc>
        <w:tc>
          <w:tcPr>
            <w:tcW w:w="7143" w:type="dxa"/>
          </w:tcPr>
          <w:p w14:paraId="21FCAFD5" w14:textId="3891B47E" w:rsidR="00D85296" w:rsidRPr="00D85296" w:rsidRDefault="00D85296" w:rsidP="00D85296">
            <w:pPr>
              <w:pStyle w:val="TableHead"/>
              <w:rPr>
                <w:b w:val="0"/>
                <w:bCs w:val="0"/>
                <w:rtl/>
              </w:rPr>
            </w:pPr>
            <w:r w:rsidRPr="00D85296">
              <w:rPr>
                <w:rFonts w:hint="cs"/>
                <w:b w:val="0"/>
                <w:bCs w:val="0"/>
                <w:rtl/>
              </w:rPr>
              <w:t>(סעיף 1)</w:t>
            </w:r>
          </w:p>
        </w:tc>
      </w:tr>
    </w:tbl>
    <w:p w14:paraId="5055EF44" w14:textId="77777777" w:rsidR="00810971" w:rsidRDefault="00810971" w:rsidP="007E1AE5">
      <w:pPr>
        <w:pStyle w:val="HeadDivreiHesber"/>
        <w:rPr>
          <w:rtl/>
        </w:rPr>
      </w:pPr>
      <w:r>
        <w:rPr>
          <w:rtl/>
        </w:rPr>
        <w:br w:type="page"/>
      </w:r>
    </w:p>
    <w:p w14:paraId="23CA18B4" w14:textId="43AFF4FA" w:rsidR="00896293" w:rsidRPr="007E1AE5" w:rsidRDefault="00896293" w:rsidP="007E1AE5">
      <w:pPr>
        <w:pStyle w:val="HeadDivreiHesber"/>
        <w:rPr>
          <w:rtl/>
        </w:rPr>
      </w:pPr>
      <w:r w:rsidRPr="007E1AE5">
        <w:rPr>
          <w:rFonts w:hint="cs"/>
          <w:rtl/>
        </w:rPr>
        <w:lastRenderedPageBreak/>
        <w:t>דברי הסבר</w:t>
      </w:r>
    </w:p>
    <w:p w14:paraId="1B227414" w14:textId="77777777" w:rsidR="00896293" w:rsidRDefault="00896293" w:rsidP="00896293">
      <w:pPr>
        <w:pStyle w:val="HeadDivreiHesber"/>
        <w:spacing w:before="0" w:after="0"/>
        <w:rPr>
          <w:rtl/>
        </w:rPr>
      </w:pPr>
    </w:p>
    <w:p w14:paraId="13CBF012" w14:textId="77777777" w:rsidR="00896293" w:rsidRPr="008E5D03" w:rsidRDefault="00896293" w:rsidP="008E5D03">
      <w:pPr>
        <w:pStyle w:val="Hesber"/>
        <w:rPr>
          <w:rtl/>
        </w:rPr>
      </w:pPr>
      <w:r w:rsidRPr="008E5D03">
        <w:rPr>
          <w:rFonts w:hint="cs"/>
          <w:rtl/>
        </w:rPr>
        <w:t>העיר מעלה אדומים הוקמה בשנת 1977, וברבות השנים גדלה והפכה לעיר המונה כ-40,000 תושבים. העיר ממוקמת כ-7 ק"מ מזרחית לירושלים הבירה, על דרך ירושלים ים המלח, בצומת דרכים בעל חשיבות אסטרטגית בכל הקשור הן להבטחת הדרך לירושלים והן כאזור מרכזי המחבר בין בקעת הירדן, מדבר יהודה וירושלים.</w:t>
      </w:r>
    </w:p>
    <w:p w14:paraId="11C59CFC" w14:textId="77777777" w:rsidR="00896293" w:rsidRPr="008E5D03" w:rsidRDefault="00896293" w:rsidP="008E5D03">
      <w:pPr>
        <w:pStyle w:val="Hesber"/>
        <w:rPr>
          <w:rtl/>
        </w:rPr>
      </w:pPr>
      <w:r w:rsidRPr="008E5D03">
        <w:rPr>
          <w:rFonts w:hint="cs"/>
          <w:rtl/>
        </w:rPr>
        <w:t xml:space="preserve">מעלה אדומים שוכנת באזור שהיה </w:t>
      </w:r>
      <w:r w:rsidRPr="008E5D03">
        <w:rPr>
          <w:rtl/>
        </w:rPr>
        <w:t>מאז ומעולם חלק בלתי נפרד מארץ ישראל ההיסטורית, ערש הולדתו של עם ישראל.</w:t>
      </w:r>
      <w:r w:rsidRPr="008E5D03">
        <w:rPr>
          <w:rFonts w:hint="cs"/>
          <w:rtl/>
        </w:rPr>
        <w:t xml:space="preserve"> עם ישראל שמר אמונים לארצו</w:t>
      </w:r>
      <w:r w:rsidRPr="008E5D03">
        <w:rPr>
          <w:rtl/>
        </w:rPr>
        <w:t xml:space="preserve"> בכל ארצות פזוריו, ולא חדל מתפילה ומתקו</w:t>
      </w:r>
      <w:r w:rsidRPr="008E5D03">
        <w:rPr>
          <w:rFonts w:hint="cs"/>
          <w:rtl/>
        </w:rPr>
        <w:t>ו</w:t>
      </w:r>
      <w:r w:rsidRPr="008E5D03">
        <w:rPr>
          <w:rtl/>
        </w:rPr>
        <w:t xml:space="preserve">ה לשוב </w:t>
      </w:r>
      <w:r w:rsidRPr="008E5D03">
        <w:rPr>
          <w:rFonts w:hint="cs"/>
          <w:rtl/>
        </w:rPr>
        <w:t>אליה</w:t>
      </w:r>
      <w:r w:rsidRPr="008E5D03">
        <w:rPr>
          <w:rtl/>
        </w:rPr>
        <w:t xml:space="preserve"> ולחדש בתוכה את חירותו המדינית. מתוך קשר היסטורי ומסורתי זה חתרו היהודים בכל דור לשוב ולהיאחז במולדתם העתיקה. זכותו של עם ישראל על חבלי ארץ אלה הוכרה גם על ידי אומות העולם, בהצהרת בלפור ובהחלטת סן רמו, אשר נתנו תוקף בין-לאומי לקשר ההיסטורי שבין העם היהודי לבין ארץ-ישראל ולזכותו להקים בה מחדש את ביתו הלאומי. הכרה זו של האומות המאוחדות בזכות העם היהודי להקים את מדינתו בארצו, אינה ניתנת להפקעה</w:t>
      </w:r>
      <w:r w:rsidRPr="008E5D03">
        <w:rPr>
          <w:rFonts w:hint="cs"/>
          <w:rtl/>
        </w:rPr>
        <w:t xml:space="preserve"> - משפטים אלה, המובאים במגילת העצמאות של מדינת ישראל, ומגדירים את זכותו ההיסטורית והמשפטית של עם ישראל על ארצו, נכונים גם לגבי העיר מעלה אדומים.</w:t>
      </w:r>
    </w:p>
    <w:p w14:paraId="3A48C1D9" w14:textId="456F8FB1" w:rsidR="00896293" w:rsidRPr="008E5D03" w:rsidRDefault="00896293" w:rsidP="008E5D03">
      <w:pPr>
        <w:pStyle w:val="Hesber"/>
        <w:rPr>
          <w:rtl/>
        </w:rPr>
      </w:pPr>
      <w:r w:rsidRPr="008E5D03">
        <w:rPr>
          <w:rFonts w:hint="cs"/>
          <w:rtl/>
        </w:rPr>
        <w:t>קיימת הסכמה רחבה בארץ ובעולם לגבי החלת הריבונות הישראלית על מעלה אדומים. יצוין כי החלת הריבונות לא תשנה באופן מהותי את המאזן הדמוגרפי בישראל, ולא תפגע באופייה הדמוקרטי של המדינה.</w:t>
      </w:r>
    </w:p>
    <w:p w14:paraId="2A025702" w14:textId="4A1D3847" w:rsidR="00E15AA5" w:rsidRPr="008E5D03" w:rsidRDefault="00896293" w:rsidP="008E5D03">
      <w:pPr>
        <w:pStyle w:val="Hesber"/>
        <w:rPr>
          <w:rtl/>
        </w:rPr>
      </w:pPr>
      <w:r w:rsidRPr="008E5D03">
        <w:rPr>
          <w:rFonts w:hint="cs"/>
          <w:rtl/>
        </w:rPr>
        <w:t>אשר על כן, מוצע להחיל כבר עתה את המשפט, השיפוט והמנהל של מדינת ישראל על מעלה אדומים ולקבע את מעמדה כחלק בלתי נפרד ממדינת ישראל.</w:t>
      </w:r>
    </w:p>
    <w:p w14:paraId="5C0EC4C4" w14:textId="7BF8D2B6" w:rsidR="00E15AA5" w:rsidRDefault="00E15AA5" w:rsidP="00810971">
      <w:pPr>
        <w:pStyle w:val="Hesber"/>
        <w:rPr>
          <w:rtl/>
        </w:rPr>
      </w:pPr>
      <w:r w:rsidRPr="008E5D03">
        <w:rPr>
          <w:rFonts w:hint="cs"/>
          <w:rtl/>
        </w:rPr>
        <w:t>הצעות חוק דומות בעיקרן הונחו על שולחן הכנסת התשע-עשרה על ידי חברת הכנסת אורית סטרוק וקבוצת חברי כנסת (פ/2598/19)</w:t>
      </w:r>
      <w:r w:rsidR="009568B5" w:rsidRPr="008E5D03">
        <w:rPr>
          <w:rFonts w:hint="cs"/>
          <w:rtl/>
        </w:rPr>
        <w:t xml:space="preserve"> ו</w:t>
      </w:r>
      <w:r w:rsidR="00810971">
        <w:rPr>
          <w:rFonts w:hint="cs"/>
          <w:rtl/>
        </w:rPr>
        <w:t>על שולחן ה</w:t>
      </w:r>
      <w:r w:rsidR="009568B5" w:rsidRPr="008E5D03">
        <w:rPr>
          <w:rFonts w:hint="cs"/>
          <w:rtl/>
        </w:rPr>
        <w:t>כנסת ה</w:t>
      </w:r>
      <w:r w:rsidR="002F68D3" w:rsidRPr="008E5D03">
        <w:rPr>
          <w:rFonts w:hint="cs"/>
          <w:rtl/>
        </w:rPr>
        <w:t>עשרים על ידי חבר הכנסת מרדכי יוגב (פ/169/20).</w:t>
      </w:r>
    </w:p>
    <w:p w14:paraId="0B274117" w14:textId="77777777" w:rsidR="00810971" w:rsidRDefault="00810971" w:rsidP="00810971">
      <w:pPr>
        <w:pStyle w:val="Hesber"/>
        <w:rPr>
          <w:rtl/>
        </w:rPr>
      </w:pPr>
    </w:p>
    <w:p w14:paraId="03AE3F9B" w14:textId="77777777" w:rsidR="00810971" w:rsidRDefault="00810971" w:rsidP="00810971">
      <w:pPr>
        <w:pStyle w:val="Hesber"/>
        <w:rPr>
          <w:rtl/>
        </w:rPr>
      </w:pPr>
    </w:p>
    <w:p w14:paraId="1E4F9D51" w14:textId="77777777" w:rsidR="00810971" w:rsidRPr="008E5D03" w:rsidRDefault="00810971" w:rsidP="00810971">
      <w:pPr>
        <w:pStyle w:val="Hesber"/>
        <w:rPr>
          <w:rtl/>
        </w:rPr>
      </w:pPr>
      <w:bookmarkStart w:id="8" w:name="_GoBack"/>
      <w:bookmarkEnd w:id="8"/>
    </w:p>
    <w:p w14:paraId="7E8CA0F6" w14:textId="77777777" w:rsidR="00810971" w:rsidRPr="00D73212" w:rsidRDefault="00810971" w:rsidP="00810971">
      <w:pPr>
        <w:pStyle w:val="Hesber"/>
        <w:rPr>
          <w:color w:val="auto"/>
          <w:rtl/>
          <w:lang w:eastAsia="en-US"/>
        </w:rPr>
      </w:pPr>
      <w:r w:rsidRPr="00D73212">
        <w:rPr>
          <w:color w:val="auto"/>
          <w:rtl/>
          <w:lang w:eastAsia="en-US"/>
        </w:rPr>
        <w:t>---------------------------------</w:t>
      </w:r>
    </w:p>
    <w:p w14:paraId="740806B5" w14:textId="77777777" w:rsidR="00810971" w:rsidRPr="00D73212" w:rsidRDefault="00810971" w:rsidP="00810971">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72F64C01" w14:textId="77777777" w:rsidR="00810971" w:rsidRPr="00D73212" w:rsidRDefault="00810971" w:rsidP="00810971">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6DCEC51C" w14:textId="77777777" w:rsidR="00810971" w:rsidRPr="00317312" w:rsidRDefault="00810971" w:rsidP="00810971">
      <w:pPr>
        <w:pStyle w:val="Hesber"/>
      </w:pPr>
      <w:r>
        <w:rPr>
          <w:rFonts w:hint="cs"/>
          <w:color w:val="auto"/>
          <w:rtl/>
          <w:lang w:eastAsia="en-US"/>
        </w:rPr>
        <w:t>כ"ו בתמוז</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ו</w:t>
      </w:r>
      <w:r w:rsidRPr="00D73212">
        <w:rPr>
          <w:color w:val="auto"/>
          <w:rtl/>
          <w:lang w:eastAsia="en-US"/>
        </w:rPr>
        <w:t xml:space="preserve"> – </w:t>
      </w:r>
      <w:r>
        <w:rPr>
          <w:rFonts w:hint="cs"/>
          <w:color w:val="auto"/>
          <w:rtl/>
          <w:lang w:eastAsia="en-US"/>
        </w:rPr>
        <w:t>1.8</w:t>
      </w:r>
      <w:r w:rsidRPr="00D73212">
        <w:rPr>
          <w:color w:val="auto"/>
          <w:rtl/>
          <w:lang w:eastAsia="en-US"/>
        </w:rPr>
        <w:t>.1</w:t>
      </w:r>
      <w:r>
        <w:rPr>
          <w:rFonts w:hint="cs"/>
          <w:color w:val="auto"/>
          <w:rtl/>
          <w:lang w:eastAsia="en-US"/>
        </w:rPr>
        <w:t>6</w:t>
      </w:r>
    </w:p>
    <w:p w14:paraId="7F6961CB" w14:textId="77777777" w:rsidR="00E13C27" w:rsidRPr="00810971" w:rsidRDefault="00E13C27" w:rsidP="008E5D03">
      <w:pPr>
        <w:pStyle w:val="Hesber"/>
        <w:rPr>
          <w:rtl/>
        </w:rPr>
      </w:pPr>
    </w:p>
    <w:sectPr w:rsidR="00E13C27" w:rsidRPr="00810971"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810971">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12E167F8" w14:textId="083FF8D5" w:rsidR="00D85296" w:rsidRDefault="00D85296" w:rsidP="000C1950">
      <w:pPr>
        <w:pStyle w:val="a4"/>
      </w:pPr>
      <w:r>
        <w:rPr>
          <w:rStyle w:val="a5"/>
          <w:rtl/>
        </w:rPr>
        <w:t>*</w:t>
      </w:r>
      <w:r>
        <w:rPr>
          <w:rtl/>
        </w:rPr>
        <w:t xml:space="preserve"> </w:t>
      </w:r>
      <w:r w:rsidR="000C1950">
        <w:rPr>
          <w:rFonts w:hint="cs"/>
          <w:rtl/>
        </w:rPr>
        <w:t>השטח שייכלל בתוספת ייקבע</w:t>
      </w:r>
      <w:r>
        <w:rPr>
          <w:rFonts w:hint="cs"/>
          <w:rtl/>
        </w:rPr>
        <w:t xml:space="preserve"> בעת הכנת הצעת החוק לקריאה הראשונה.</w:t>
      </w:r>
      <w:r>
        <w:rPr>
          <w:rFonts w:hint="cs"/>
          <w:rtl/>
        </w:rPr>
        <w:tab/>
      </w:r>
      <w:r>
        <w:rPr>
          <w:rtl/>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0C1950"/>
    <w:rsid w:val="00102B6B"/>
    <w:rsid w:val="001052D4"/>
    <w:rsid w:val="0010644B"/>
    <w:rsid w:val="001207F8"/>
    <w:rsid w:val="00121924"/>
    <w:rsid w:val="001279A8"/>
    <w:rsid w:val="0014195F"/>
    <w:rsid w:val="00152609"/>
    <w:rsid w:val="00153E1B"/>
    <w:rsid w:val="001A0623"/>
    <w:rsid w:val="001C23B0"/>
    <w:rsid w:val="001D7AAF"/>
    <w:rsid w:val="001F1D45"/>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B7668"/>
    <w:rsid w:val="002C2E29"/>
    <w:rsid w:val="002C3041"/>
    <w:rsid w:val="002D1EE3"/>
    <w:rsid w:val="002F1D80"/>
    <w:rsid w:val="002F68D3"/>
    <w:rsid w:val="00302FAC"/>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06F7F"/>
    <w:rsid w:val="0062674B"/>
    <w:rsid w:val="006363B2"/>
    <w:rsid w:val="00644940"/>
    <w:rsid w:val="006818A9"/>
    <w:rsid w:val="006A2D81"/>
    <w:rsid w:val="006C1D0D"/>
    <w:rsid w:val="006D012C"/>
    <w:rsid w:val="006F2A12"/>
    <w:rsid w:val="0070601E"/>
    <w:rsid w:val="00712C72"/>
    <w:rsid w:val="00735FE9"/>
    <w:rsid w:val="00763CAA"/>
    <w:rsid w:val="00765F66"/>
    <w:rsid w:val="0078664F"/>
    <w:rsid w:val="007C3FA6"/>
    <w:rsid w:val="007D585A"/>
    <w:rsid w:val="007D5A12"/>
    <w:rsid w:val="007E1AE5"/>
    <w:rsid w:val="007E59F9"/>
    <w:rsid w:val="00810971"/>
    <w:rsid w:val="00810BCD"/>
    <w:rsid w:val="00812C98"/>
    <w:rsid w:val="00814D92"/>
    <w:rsid w:val="0083181D"/>
    <w:rsid w:val="00843EB2"/>
    <w:rsid w:val="00865572"/>
    <w:rsid w:val="00874BBC"/>
    <w:rsid w:val="00892135"/>
    <w:rsid w:val="00895449"/>
    <w:rsid w:val="00896293"/>
    <w:rsid w:val="00897879"/>
    <w:rsid w:val="008A6870"/>
    <w:rsid w:val="008C2DDC"/>
    <w:rsid w:val="008C7516"/>
    <w:rsid w:val="008E5D03"/>
    <w:rsid w:val="008E6EC7"/>
    <w:rsid w:val="008F0D63"/>
    <w:rsid w:val="008F1308"/>
    <w:rsid w:val="008F2C35"/>
    <w:rsid w:val="008F6665"/>
    <w:rsid w:val="00904591"/>
    <w:rsid w:val="00905E5F"/>
    <w:rsid w:val="0091204F"/>
    <w:rsid w:val="009203DB"/>
    <w:rsid w:val="00923CD4"/>
    <w:rsid w:val="00930EFE"/>
    <w:rsid w:val="00943386"/>
    <w:rsid w:val="009456B6"/>
    <w:rsid w:val="00955D49"/>
    <w:rsid w:val="009568B5"/>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7774"/>
    <w:rsid w:val="00D63620"/>
    <w:rsid w:val="00D8410D"/>
    <w:rsid w:val="00D85296"/>
    <w:rsid w:val="00D867D7"/>
    <w:rsid w:val="00DA6C6D"/>
    <w:rsid w:val="00DB7060"/>
    <w:rsid w:val="00DE3153"/>
    <w:rsid w:val="00E06736"/>
    <w:rsid w:val="00E13C27"/>
    <w:rsid w:val="00E15AA5"/>
    <w:rsid w:val="00E33BBD"/>
    <w:rsid w:val="00E374F2"/>
    <w:rsid w:val="00E45103"/>
    <w:rsid w:val="00E55A60"/>
    <w:rsid w:val="00E62778"/>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E5"/>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7E1AE5"/>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7E1AE5"/>
    <w:rPr>
      <w:sz w:val="36"/>
      <w:szCs w:val="52"/>
    </w:rPr>
  </w:style>
  <w:style w:type="paragraph" w:customStyle="1" w:styleId="Cover3-Haknesset">
    <w:name w:val="Cover 3-Haknesset"/>
    <w:basedOn w:val="Cover1-Reshumot"/>
    <w:rsid w:val="007E1AE5"/>
    <w:rPr>
      <w:b/>
      <w:bCs/>
      <w:spacing w:val="60"/>
    </w:rPr>
  </w:style>
  <w:style w:type="paragraph" w:customStyle="1" w:styleId="Cover4-Date">
    <w:name w:val="Cover 4-Date"/>
    <w:basedOn w:val="a"/>
    <w:rsid w:val="007E1AE5"/>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7E1AE5"/>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7E1AE5"/>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7E1AE5"/>
    <w:pPr>
      <w:spacing w:before="120" w:after="120"/>
    </w:pPr>
    <w:rPr>
      <w:color w:val="FF0000"/>
      <w:w w:val="80"/>
    </w:rPr>
  </w:style>
  <w:style w:type="paragraph" w:styleId="a3">
    <w:name w:val="endnote text"/>
    <w:basedOn w:val="a"/>
    <w:semiHidden/>
    <w:rsid w:val="007E1AE5"/>
    <w:pPr>
      <w:ind w:left="227" w:hanging="227"/>
    </w:pPr>
    <w:rPr>
      <w:sz w:val="14"/>
      <w:szCs w:val="22"/>
    </w:rPr>
  </w:style>
  <w:style w:type="paragraph" w:customStyle="1" w:styleId="TableText">
    <w:name w:val="Table Text"/>
    <w:basedOn w:val="a"/>
    <w:rsid w:val="007E1AE5"/>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7E1AE5"/>
  </w:style>
  <w:style w:type="paragraph" w:customStyle="1" w:styleId="TableBlock">
    <w:name w:val="Table Block"/>
    <w:basedOn w:val="TableText"/>
    <w:rsid w:val="007E1AE5"/>
    <w:pPr>
      <w:ind w:right="0"/>
      <w:jc w:val="both"/>
    </w:pPr>
  </w:style>
  <w:style w:type="paragraph" w:customStyle="1" w:styleId="TableHead">
    <w:name w:val="Table Head"/>
    <w:basedOn w:val="TableText"/>
    <w:rsid w:val="007E1AE5"/>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7E1AE5"/>
  </w:style>
  <w:style w:type="paragraph" w:customStyle="1" w:styleId="Hesber">
    <w:name w:val="Hesber"/>
    <w:basedOn w:val="a"/>
    <w:rsid w:val="007E1AE5"/>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7E1AE5"/>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7E1AE5"/>
    <w:rPr>
      <w:vertAlign w:val="superscript"/>
    </w:rPr>
  </w:style>
  <w:style w:type="paragraph" w:customStyle="1" w:styleId="HesberHeading">
    <w:name w:val="Hesber Heading"/>
    <w:basedOn w:val="Hesber"/>
    <w:rsid w:val="007E1AE5"/>
    <w:pPr>
      <w:tabs>
        <w:tab w:val="left" w:pos="624"/>
        <w:tab w:val="left" w:pos="1247"/>
      </w:tabs>
      <w:ind w:firstLine="0"/>
    </w:pPr>
    <w:rPr>
      <w:b/>
      <w:bCs/>
    </w:rPr>
  </w:style>
  <w:style w:type="paragraph" w:customStyle="1" w:styleId="HesberWriters">
    <w:name w:val="Hesber Writers"/>
    <w:basedOn w:val="Hesber"/>
    <w:rsid w:val="007E1AE5"/>
    <w:pPr>
      <w:spacing w:before="120" w:after="6000"/>
      <w:ind w:left="1418" w:firstLine="0"/>
      <w:jc w:val="right"/>
    </w:pPr>
    <w:rPr>
      <w:b/>
      <w:bCs/>
    </w:rPr>
  </w:style>
  <w:style w:type="paragraph" w:customStyle="1" w:styleId="Hesber1st">
    <w:name w:val="Hesber 1st"/>
    <w:basedOn w:val="Hesber"/>
    <w:rsid w:val="007E1AE5"/>
    <w:pPr>
      <w:tabs>
        <w:tab w:val="left" w:pos="680"/>
        <w:tab w:val="left" w:pos="1020"/>
      </w:tabs>
      <w:ind w:firstLine="0"/>
    </w:pPr>
  </w:style>
  <w:style w:type="character" w:styleId="a6">
    <w:name w:val="endnote reference"/>
    <w:basedOn w:val="a0"/>
    <w:semiHidden/>
    <w:rsid w:val="007E1AE5"/>
    <w:rPr>
      <w:vertAlign w:val="superscript"/>
    </w:rPr>
  </w:style>
  <w:style w:type="paragraph" w:customStyle="1" w:styleId="TableBlockOutdent">
    <w:name w:val="Table BlockOutdent"/>
    <w:basedOn w:val="TableBlock"/>
    <w:rsid w:val="007E1AE5"/>
    <w:pPr>
      <w:ind w:left="624" w:hanging="624"/>
    </w:pPr>
  </w:style>
  <w:style w:type="paragraph" w:styleId="a7">
    <w:name w:val="header"/>
    <w:basedOn w:val="a"/>
    <w:rsid w:val="007E1AE5"/>
    <w:pPr>
      <w:tabs>
        <w:tab w:val="center" w:pos="4153"/>
        <w:tab w:val="right" w:pos="8306"/>
      </w:tabs>
    </w:pPr>
  </w:style>
  <w:style w:type="paragraph" w:styleId="a8">
    <w:name w:val="footer"/>
    <w:basedOn w:val="a"/>
    <w:rsid w:val="007E1AE5"/>
    <w:pPr>
      <w:tabs>
        <w:tab w:val="center" w:pos="4153"/>
        <w:tab w:val="right" w:pos="8306"/>
      </w:tabs>
    </w:pPr>
  </w:style>
  <w:style w:type="paragraph" w:customStyle="1" w:styleId="HeadDivreiHesber">
    <w:name w:val="Head DivreiHesber"/>
    <w:basedOn w:val="a"/>
    <w:rsid w:val="007E1AE5"/>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7E1AE5"/>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7E1AE5"/>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character" w:styleId="ad">
    <w:name w:val="annotation reference"/>
    <w:basedOn w:val="a0"/>
    <w:semiHidden/>
    <w:unhideWhenUsed/>
    <w:rsid w:val="00D85296"/>
    <w:rPr>
      <w:sz w:val="16"/>
      <w:szCs w:val="16"/>
    </w:rPr>
  </w:style>
  <w:style w:type="paragraph" w:styleId="ae">
    <w:name w:val="annotation text"/>
    <w:basedOn w:val="a"/>
    <w:link w:val="af"/>
    <w:semiHidden/>
    <w:unhideWhenUsed/>
    <w:rsid w:val="00D85296"/>
    <w:pPr>
      <w:spacing w:line="240" w:lineRule="auto"/>
    </w:pPr>
    <w:rPr>
      <w:sz w:val="20"/>
      <w:szCs w:val="20"/>
    </w:rPr>
  </w:style>
  <w:style w:type="character" w:customStyle="1" w:styleId="af">
    <w:name w:val="טקסט הערה תו"/>
    <w:basedOn w:val="a0"/>
    <w:link w:val="ae"/>
    <w:semiHidden/>
    <w:rsid w:val="00D85296"/>
    <w:rPr>
      <w:rFonts w:ascii="Hadasa Roso SL" w:hAnsi="Hadasa Roso SL" w:cs="Hadasa Roso SL"/>
      <w:color w:val="000000"/>
      <w:spacing w:val="1"/>
      <w:lang w:eastAsia="ja-JP"/>
    </w:rPr>
  </w:style>
  <w:style w:type="paragraph" w:styleId="af0">
    <w:name w:val="annotation subject"/>
    <w:basedOn w:val="ae"/>
    <w:next w:val="ae"/>
    <w:link w:val="af1"/>
    <w:semiHidden/>
    <w:unhideWhenUsed/>
    <w:rsid w:val="00D85296"/>
    <w:rPr>
      <w:b/>
      <w:bCs/>
    </w:rPr>
  </w:style>
  <w:style w:type="character" w:customStyle="1" w:styleId="af1">
    <w:name w:val="נושא הערה תו"/>
    <w:basedOn w:val="af"/>
    <w:link w:val="af0"/>
    <w:semiHidden/>
    <w:rsid w:val="00D85296"/>
    <w:rPr>
      <w:rFonts w:ascii="Hadasa Roso SL" w:hAnsi="Hadasa Roso SL" w:cs="Hadasa Roso SL"/>
      <w:b/>
      <w:bCs/>
      <w:color w:val="000000"/>
      <w:spacing w:val="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90FB53D-382D-49A2-85C9-595A262B8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7414DD-0419-4F94-9818-F1EFC153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400</Words>
  <Characters>2004</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16</cp:revision>
  <cp:lastPrinted>2016-07-27T14:36:00Z</cp:lastPrinted>
  <dcterms:created xsi:type="dcterms:W3CDTF">2015-04-20T09:58:00Z</dcterms:created>
  <dcterms:modified xsi:type="dcterms:W3CDTF">2016-07-27T14:36:00Z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2006097</vt:r8>
  </property>
</Properties>
</file>