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579103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אחמד טיבי</w:t>
      </w:r>
      <w:r>
        <w:br/>
      </w:r>
      <w:r>
        <w:rPr>
          <w:rFonts w:hint="cs"/>
          <w:b/>
          <w:bCs/>
          <w:rtl/>
        </w:rPr>
        <w:t xml:space="preserve"> </w:t>
      </w:r>
      <w:r>
        <w:tab/>
      </w:r>
      <w:r>
        <w:tab/>
      </w:r>
      <w:r>
        <w:tab/>
      </w:r>
      <w:r>
        <w:tab/>
      </w:r>
      <w:r>
        <w:rPr>
          <w:rFonts w:hint="cs"/>
          <w:b/>
          <w:bCs/>
          <w:rtl/>
        </w:rPr>
        <w:t>אוסאמה סעדי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פ/3137/20</w:t>
      </w:r>
      <w:bookmarkEnd w:id="6"/>
    </w:p>
    <w:p w14:paraId="7F6961AC" w14:textId="77777777" w:rsidR="00E13C27" w:rsidRDefault="00E13C27" w:rsidP="00E13C27">
      <w:pPr>
        <w:spacing w:before="0" w:line="360" w:lineRule="auto"/>
        <w:ind w:left="2880" w:firstLine="720"/>
        <w:rPr>
          <w:rFonts w:cs="David"/>
          <w:sz w:val="26"/>
          <w:szCs w:val="26"/>
          <w:rtl/>
        </w:rPr>
      </w:pPr>
    </w:p>
    <w:p w14:paraId="6F2F04E6" w14:textId="77777777" w:rsidR="002861BD" w:rsidRDefault="00A443CF" w:rsidP="002861BD">
      <w:pPr>
        <w:pStyle w:val="HeadHatzaotHok"/>
        <w:spacing w:line="240" w:lineRule="auto"/>
        <w:rPr>
          <w:rtl/>
        </w:rPr>
      </w:pPr>
      <w:bookmarkStart w:id="7" w:name="LGS_Subject"/>
      <w:r>
        <w:rPr>
          <w:rFonts w:hint="cs"/>
          <w:rtl/>
        </w:rPr>
        <w:t xml:space="preserve">הצעת חוק שירותי תעופה (פיצוי וסיוע בשל ביטול טיסה או שינוי בתנאיה) (הוראות שונות), </w:t>
      </w:r>
    </w:p>
    <w:p w14:paraId="7F6961AD" w14:textId="79DBDA12" w:rsidR="00E13C27" w:rsidRPr="00F67051" w:rsidRDefault="00A443CF" w:rsidP="002861BD">
      <w:pPr>
        <w:pStyle w:val="HeadHatzaotHok"/>
        <w:spacing w:line="240" w:lineRule="auto"/>
        <w:rPr>
          <w:rtl/>
        </w:rPr>
      </w:pPr>
      <w:r>
        <w:rPr>
          <w:rFonts w:hint="cs"/>
          <w:rtl/>
        </w:rPr>
        <w:t>התשע"ו</w:t>
      </w:r>
      <w:r w:rsidR="009D0044">
        <w:rPr>
          <w:rFonts w:hint="eastAsia"/>
          <w:rtl/>
        </w:rPr>
        <w:t>–</w:t>
      </w:r>
      <w:r>
        <w:rPr>
          <w:rFonts w:hint="cs"/>
          <w:rtl/>
        </w:rPr>
        <w:t>2016</w:t>
      </w:r>
      <w:bookmarkEnd w:id="7"/>
    </w:p>
    <w:p w14:paraId="7F6961AE" w14:textId="77777777" w:rsidR="00E13C27" w:rsidRDefault="00E13C27" w:rsidP="0021633A">
      <w:pPr>
        <w:pStyle w:val="HeadDivreiHesber"/>
        <w:spacing w:before="0" w:after="0"/>
        <w:rPr>
          <w:rtl/>
        </w:rPr>
      </w:pPr>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3"/>
        <w:gridCol w:w="624"/>
        <w:gridCol w:w="624"/>
        <w:gridCol w:w="624"/>
        <w:gridCol w:w="624"/>
        <w:gridCol w:w="4648"/>
      </w:tblGrid>
      <w:tr w:rsidR="00C040FD" w:rsidRPr="00463132" w14:paraId="1338AF14" w14:textId="77777777" w:rsidTr="00B22AFF">
        <w:trPr>
          <w:cantSplit/>
        </w:trPr>
        <w:tc>
          <w:tcPr>
            <w:tcW w:w="1869" w:type="dxa"/>
            <w:tcMar>
              <w:top w:w="91" w:type="dxa"/>
              <w:left w:w="0" w:type="dxa"/>
              <w:bottom w:w="91" w:type="dxa"/>
              <w:right w:w="0" w:type="dxa"/>
            </w:tcMar>
          </w:tcPr>
          <w:p w14:paraId="0B9B3DBB" w14:textId="721BFCEA" w:rsidR="00C040FD" w:rsidRPr="00EE36DB" w:rsidRDefault="004F6963" w:rsidP="00720F88">
            <w:pPr>
              <w:pStyle w:val="TableSideHeading"/>
              <w:ind w:right="0"/>
            </w:pPr>
            <w:r w:rsidRPr="00EE36DB">
              <w:rPr>
                <w:rtl/>
              </w:rPr>
              <w:t>הוספת סעיף 2א</w:t>
            </w:r>
            <w:r w:rsidR="00EE36DB" w:rsidRPr="00EE36DB">
              <w:t xml:space="preserve"> </w:t>
            </w:r>
          </w:p>
        </w:tc>
        <w:tc>
          <w:tcPr>
            <w:tcW w:w="623" w:type="dxa"/>
            <w:tcMar>
              <w:top w:w="91" w:type="dxa"/>
              <w:left w:w="0" w:type="dxa"/>
              <w:bottom w:w="91" w:type="dxa"/>
              <w:right w:w="0" w:type="dxa"/>
            </w:tcMar>
          </w:tcPr>
          <w:p w14:paraId="5D9BED0D" w14:textId="71EA0E46" w:rsidR="00C040FD" w:rsidRPr="00463132" w:rsidRDefault="00720F88" w:rsidP="00B22AFF">
            <w:pPr>
              <w:pStyle w:val="TableText"/>
              <w:ind w:right="0"/>
              <w:jc w:val="both"/>
              <w:rPr>
                <w:sz w:val="26"/>
                <w:rtl/>
              </w:rPr>
            </w:pPr>
            <w:r w:rsidRPr="00B22AFF">
              <w:rPr>
                <w:rtl/>
              </w:rPr>
              <w:t>1.</w:t>
            </w:r>
            <w:r w:rsidR="00C040FD" w:rsidRPr="00463132">
              <w:rPr>
                <w:sz w:val="26"/>
                <w:rtl/>
              </w:rPr>
              <w:tab/>
            </w:r>
          </w:p>
        </w:tc>
        <w:tc>
          <w:tcPr>
            <w:tcW w:w="7144" w:type="dxa"/>
            <w:gridSpan w:val="5"/>
            <w:tcMar>
              <w:top w:w="91" w:type="dxa"/>
              <w:left w:w="0" w:type="dxa"/>
              <w:bottom w:w="91" w:type="dxa"/>
              <w:right w:w="0" w:type="dxa"/>
            </w:tcMar>
          </w:tcPr>
          <w:p w14:paraId="41E1EC72" w14:textId="50A57105" w:rsidR="00C040FD" w:rsidRPr="001F2AFF" w:rsidRDefault="00BE1474" w:rsidP="00727CA4">
            <w:pPr>
              <w:pStyle w:val="TableBlock"/>
              <w:rPr>
                <w:sz w:val="26"/>
                <w:rtl/>
              </w:rPr>
            </w:pPr>
            <w:r w:rsidRPr="001F2AFF">
              <w:rPr>
                <w:color w:val="222222"/>
                <w:sz w:val="26"/>
                <w:shd w:val="clear" w:color="auto" w:fill="FFFFFF"/>
                <w:rtl/>
              </w:rPr>
              <w:t>בחוק שירותי תעופה (פיצוי וסיוע בשל ביטול טיסה או שינוי בתנאיה), התשע"ב–2012</w:t>
            </w:r>
            <w:r w:rsidR="00720F88">
              <w:rPr>
                <w:rStyle w:val="a5"/>
                <w:color w:val="222222"/>
                <w:sz w:val="26"/>
                <w:shd w:val="clear" w:color="auto" w:fill="FFFFFF"/>
                <w:rtl/>
              </w:rPr>
              <w:footnoteReference w:id="2"/>
            </w:r>
            <w:r w:rsidRPr="001F2AFF">
              <w:rPr>
                <w:color w:val="222222"/>
                <w:sz w:val="26"/>
                <w:shd w:val="clear" w:color="auto" w:fill="FFFFFF"/>
                <w:rtl/>
              </w:rPr>
              <w:t xml:space="preserve"> (להלן </w:t>
            </w:r>
            <w:r w:rsidR="00720F88">
              <w:rPr>
                <w:rFonts w:hint="eastAsia"/>
                <w:color w:val="222222"/>
                <w:sz w:val="26"/>
                <w:shd w:val="clear" w:color="auto" w:fill="FFFFFF"/>
                <w:rtl/>
              </w:rPr>
              <w:t>–</w:t>
            </w:r>
            <w:r w:rsidR="00720F88" w:rsidRPr="001F2AFF">
              <w:rPr>
                <w:color w:val="222222"/>
                <w:sz w:val="26"/>
                <w:shd w:val="clear" w:color="auto" w:fill="FFFFFF"/>
                <w:rtl/>
              </w:rPr>
              <w:t xml:space="preserve"> </w:t>
            </w:r>
            <w:r w:rsidRPr="001F2AFF">
              <w:rPr>
                <w:color w:val="222222"/>
                <w:sz w:val="26"/>
                <w:shd w:val="clear" w:color="auto" w:fill="FFFFFF"/>
                <w:rtl/>
              </w:rPr>
              <w:t>החוק העיקרי)</w:t>
            </w:r>
            <w:r w:rsidR="00720F88">
              <w:rPr>
                <w:rFonts w:hint="cs"/>
                <w:color w:val="222222"/>
                <w:sz w:val="26"/>
                <w:shd w:val="clear" w:color="auto" w:fill="FFFFFF"/>
                <w:rtl/>
              </w:rPr>
              <w:t>,</w:t>
            </w:r>
            <w:r w:rsidRPr="001F2AFF">
              <w:rPr>
                <w:color w:val="222222"/>
                <w:sz w:val="26"/>
                <w:shd w:val="clear" w:color="auto" w:fill="FFFFFF"/>
                <w:rtl/>
              </w:rPr>
              <w:t xml:space="preserve"> אחרי סעיף 2 </w:t>
            </w:r>
            <w:r w:rsidR="00720F88">
              <w:rPr>
                <w:rFonts w:hint="cs"/>
                <w:color w:val="222222"/>
                <w:sz w:val="26"/>
                <w:shd w:val="clear" w:color="auto" w:fill="FFFFFF"/>
                <w:rtl/>
              </w:rPr>
              <w:t>יבוא:</w:t>
            </w:r>
          </w:p>
        </w:tc>
      </w:tr>
      <w:tr w:rsidR="009200F1" w14:paraId="40F47AA6" w14:textId="77777777" w:rsidTr="00B22AFF">
        <w:tblPrEx>
          <w:tblLook w:val="01E0" w:firstRow="1" w:lastRow="1" w:firstColumn="1" w:lastColumn="1" w:noHBand="0" w:noVBand="0"/>
        </w:tblPrEx>
        <w:trPr>
          <w:cantSplit/>
          <w:trHeight w:val="60"/>
        </w:trPr>
        <w:tc>
          <w:tcPr>
            <w:tcW w:w="1869" w:type="dxa"/>
          </w:tcPr>
          <w:p w14:paraId="26BEE062" w14:textId="77777777" w:rsidR="009200F1" w:rsidRDefault="009200F1">
            <w:pPr>
              <w:pStyle w:val="TableSideHeading"/>
              <w:keepLines w:val="0"/>
            </w:pPr>
          </w:p>
        </w:tc>
        <w:tc>
          <w:tcPr>
            <w:tcW w:w="623" w:type="dxa"/>
          </w:tcPr>
          <w:p w14:paraId="03B2D2AB" w14:textId="77777777" w:rsidR="009200F1" w:rsidRDefault="009200F1">
            <w:pPr>
              <w:pStyle w:val="TableText"/>
              <w:keepLines w:val="0"/>
            </w:pPr>
          </w:p>
        </w:tc>
        <w:tc>
          <w:tcPr>
            <w:tcW w:w="1872" w:type="dxa"/>
            <w:gridSpan w:val="3"/>
          </w:tcPr>
          <w:p w14:paraId="7E488D09" w14:textId="1B8C51E0" w:rsidR="009200F1" w:rsidRPr="009200F1" w:rsidRDefault="009200F1" w:rsidP="00B22AFF">
            <w:pPr>
              <w:pStyle w:val="TableSideHeading"/>
              <w:ind w:right="0"/>
            </w:pPr>
            <w:r>
              <w:rPr>
                <w:rFonts w:hint="cs"/>
                <w:rtl/>
              </w:rPr>
              <w:t>"</w:t>
            </w:r>
            <w:r w:rsidR="00E8288B">
              <w:rPr>
                <w:rtl/>
              </w:rPr>
              <w:t xml:space="preserve">חובת </w:t>
            </w:r>
            <w:r w:rsidR="00727CA4">
              <w:rPr>
                <w:rFonts w:hint="cs"/>
                <w:rtl/>
              </w:rPr>
              <w:t>הנפקת</w:t>
            </w:r>
            <w:r w:rsidRPr="009200F1">
              <w:rPr>
                <w:rtl/>
              </w:rPr>
              <w:t xml:space="preserve"> כרטיס טיסה</w:t>
            </w:r>
          </w:p>
        </w:tc>
        <w:tc>
          <w:tcPr>
            <w:tcW w:w="624" w:type="dxa"/>
          </w:tcPr>
          <w:p w14:paraId="405784D6" w14:textId="59E4D04E" w:rsidR="009200F1" w:rsidRDefault="00727CA4">
            <w:pPr>
              <w:pStyle w:val="TableText"/>
            </w:pPr>
            <w:r>
              <w:rPr>
                <w:rFonts w:hint="cs"/>
                <w:rtl/>
              </w:rPr>
              <w:t>2</w:t>
            </w:r>
            <w:r w:rsidR="009200F1">
              <w:rPr>
                <w:rFonts w:hint="cs"/>
                <w:rtl/>
              </w:rPr>
              <w:t>א.</w:t>
            </w:r>
          </w:p>
        </w:tc>
        <w:tc>
          <w:tcPr>
            <w:tcW w:w="4648" w:type="dxa"/>
          </w:tcPr>
          <w:p w14:paraId="788FD53D" w14:textId="1F2DF217" w:rsidR="009200F1" w:rsidRDefault="009200F1" w:rsidP="00B22AFF">
            <w:pPr>
              <w:pStyle w:val="TableBlock"/>
            </w:pPr>
            <w:r>
              <w:rPr>
                <w:rFonts w:hint="cs"/>
                <w:rtl/>
              </w:rPr>
              <w:t>(א)</w:t>
            </w:r>
            <w:r>
              <w:rPr>
                <w:rtl/>
              </w:rPr>
              <w:tab/>
            </w:r>
            <w:r w:rsidR="00303293">
              <w:rPr>
                <w:rFonts w:hint="cs"/>
                <w:rtl/>
              </w:rPr>
              <w:t xml:space="preserve">מפעיל </w:t>
            </w:r>
            <w:r w:rsidR="00E8288B">
              <w:rPr>
                <w:rtl/>
              </w:rPr>
              <w:t>טיסה או מארגן י</w:t>
            </w:r>
            <w:r w:rsidR="00634B6B">
              <w:rPr>
                <w:rFonts w:hint="cs"/>
                <w:rtl/>
              </w:rPr>
              <w:t>נפיק</w:t>
            </w:r>
            <w:r w:rsidRPr="002A67EA">
              <w:rPr>
                <w:rtl/>
              </w:rPr>
              <w:t xml:space="preserve"> לנוסע כרטיס טיסה</w:t>
            </w:r>
            <w:r w:rsidR="00634B6B">
              <w:rPr>
                <w:rFonts w:hint="cs"/>
                <w:rtl/>
              </w:rPr>
              <w:t xml:space="preserve"> וימסור לו את הכרטיס</w:t>
            </w:r>
            <w:r w:rsidRPr="002A67EA">
              <w:rPr>
                <w:rtl/>
              </w:rPr>
              <w:t xml:space="preserve"> </w:t>
            </w:r>
            <w:r w:rsidR="00634B6B">
              <w:rPr>
                <w:rFonts w:hint="cs"/>
                <w:rtl/>
              </w:rPr>
              <w:t>ב</w:t>
            </w:r>
            <w:r w:rsidRPr="002A67EA">
              <w:rPr>
                <w:rtl/>
              </w:rPr>
              <w:t xml:space="preserve">תוך 24 שעות ממועד תשלום התמורה על ידי הנוסע </w:t>
            </w:r>
            <w:r w:rsidR="00634B6B">
              <w:rPr>
                <w:rFonts w:hint="cs"/>
                <w:rtl/>
              </w:rPr>
              <w:t>בעד</w:t>
            </w:r>
            <w:r w:rsidR="00634B6B">
              <w:rPr>
                <w:rtl/>
              </w:rPr>
              <w:t xml:space="preserve"> הטיסה, </w:t>
            </w:r>
            <w:r w:rsidR="00634B6B" w:rsidRPr="00246A77">
              <w:rPr>
                <w:rtl/>
              </w:rPr>
              <w:t xml:space="preserve">אלא אם כן </w:t>
            </w:r>
            <w:r w:rsidR="00246A77" w:rsidRPr="00B22AFF">
              <w:rPr>
                <w:rFonts w:hint="eastAsia"/>
                <w:rtl/>
              </w:rPr>
              <w:t>הסכימו</w:t>
            </w:r>
            <w:r w:rsidR="00246A77">
              <w:rPr>
                <w:rFonts w:hint="cs"/>
                <w:rtl/>
              </w:rPr>
              <w:t xml:space="preserve"> שני</w:t>
            </w:r>
            <w:r w:rsidR="00246A77" w:rsidRPr="00B22AFF">
              <w:rPr>
                <w:rtl/>
              </w:rPr>
              <w:t xml:space="preserve"> הצדדים </w:t>
            </w:r>
            <w:r w:rsidR="00246A77" w:rsidRPr="00B22AFF">
              <w:rPr>
                <w:rFonts w:hint="eastAsia"/>
                <w:rtl/>
              </w:rPr>
              <w:t>על</w:t>
            </w:r>
            <w:r w:rsidR="00246A77" w:rsidRPr="00B22AFF">
              <w:rPr>
                <w:rtl/>
              </w:rPr>
              <w:t xml:space="preserve"> </w:t>
            </w:r>
            <w:r w:rsidR="00634B6B" w:rsidRPr="00246A77">
              <w:rPr>
                <w:rtl/>
              </w:rPr>
              <w:t xml:space="preserve">מועד </w:t>
            </w:r>
            <w:r w:rsidR="00246A77" w:rsidRPr="00B22AFF">
              <w:rPr>
                <w:rtl/>
              </w:rPr>
              <w:t>מאוחר יותר</w:t>
            </w:r>
            <w:r w:rsidRPr="00246A77">
              <w:rPr>
                <w:rtl/>
              </w:rPr>
              <w:t>.</w:t>
            </w:r>
          </w:p>
        </w:tc>
      </w:tr>
      <w:tr w:rsidR="009200F1" w14:paraId="1492146D" w14:textId="77777777" w:rsidTr="00B22AFF">
        <w:tblPrEx>
          <w:tblLook w:val="01E0" w:firstRow="1" w:lastRow="1" w:firstColumn="1" w:lastColumn="1" w:noHBand="0" w:noVBand="0"/>
        </w:tblPrEx>
        <w:trPr>
          <w:cantSplit/>
          <w:trHeight w:val="60"/>
        </w:trPr>
        <w:tc>
          <w:tcPr>
            <w:tcW w:w="1869" w:type="dxa"/>
          </w:tcPr>
          <w:p w14:paraId="73763178" w14:textId="77777777" w:rsidR="009200F1" w:rsidRDefault="009200F1">
            <w:pPr>
              <w:pStyle w:val="TableSideHeading"/>
              <w:keepLines w:val="0"/>
              <w:rPr>
                <w:rtl/>
              </w:rPr>
            </w:pPr>
          </w:p>
        </w:tc>
        <w:tc>
          <w:tcPr>
            <w:tcW w:w="623" w:type="dxa"/>
          </w:tcPr>
          <w:p w14:paraId="1854CB45" w14:textId="77777777" w:rsidR="009200F1" w:rsidRDefault="009200F1" w:rsidP="00B22AFF">
            <w:pPr>
              <w:pStyle w:val="TableText"/>
            </w:pPr>
          </w:p>
        </w:tc>
        <w:tc>
          <w:tcPr>
            <w:tcW w:w="1872" w:type="dxa"/>
            <w:gridSpan w:val="3"/>
          </w:tcPr>
          <w:p w14:paraId="0806E784" w14:textId="77777777" w:rsidR="009200F1" w:rsidRPr="009200F1" w:rsidRDefault="009200F1" w:rsidP="009200F1">
            <w:pPr>
              <w:pStyle w:val="TableSideHeading"/>
              <w:ind w:right="0"/>
              <w:rPr>
                <w:rtl/>
              </w:rPr>
            </w:pPr>
          </w:p>
        </w:tc>
        <w:tc>
          <w:tcPr>
            <w:tcW w:w="624" w:type="dxa"/>
          </w:tcPr>
          <w:p w14:paraId="0BEC7771" w14:textId="77777777" w:rsidR="009200F1" w:rsidRDefault="009200F1">
            <w:pPr>
              <w:pStyle w:val="TableText"/>
              <w:rPr>
                <w:rtl/>
              </w:rPr>
            </w:pPr>
          </w:p>
        </w:tc>
        <w:tc>
          <w:tcPr>
            <w:tcW w:w="4648" w:type="dxa"/>
          </w:tcPr>
          <w:p w14:paraId="09AEDE48" w14:textId="2EE3DF59" w:rsidR="009200F1" w:rsidRDefault="009200F1" w:rsidP="00B22AFF">
            <w:pPr>
              <w:pStyle w:val="TableBlock"/>
              <w:rPr>
                <w:rtl/>
              </w:rPr>
            </w:pPr>
            <w:r>
              <w:rPr>
                <w:rFonts w:hint="cs"/>
                <w:rtl/>
              </w:rPr>
              <w:t>(ב)</w:t>
            </w:r>
            <w:r>
              <w:rPr>
                <w:rtl/>
              </w:rPr>
              <w:tab/>
            </w:r>
            <w:r w:rsidR="00634B6B">
              <w:rPr>
                <w:rFonts w:hint="cs"/>
                <w:color w:val="222222"/>
                <w:sz w:val="26"/>
                <w:shd w:val="clear" w:color="auto" w:fill="FFFFFF"/>
                <w:rtl/>
              </w:rPr>
              <w:t>לא מסר מפעיל טיסה או מארגן כרטיס</w:t>
            </w:r>
            <w:r w:rsidR="00B77B3A">
              <w:rPr>
                <w:rFonts w:hint="cs"/>
                <w:color w:val="222222"/>
                <w:sz w:val="26"/>
                <w:shd w:val="clear" w:color="auto" w:fill="FFFFFF"/>
                <w:rtl/>
              </w:rPr>
              <w:t xml:space="preserve"> טיסה</w:t>
            </w:r>
            <w:r w:rsidR="00634B6B">
              <w:rPr>
                <w:rFonts w:hint="cs"/>
                <w:color w:val="222222"/>
                <w:sz w:val="26"/>
                <w:shd w:val="clear" w:color="auto" w:fill="FFFFFF"/>
                <w:rtl/>
              </w:rPr>
              <w:t xml:space="preserve"> במועד כאמור בסעיף קטן (א), יראו, לעניין חוק זה, את שעת הטיסה שלטענת הנוסע נמסרה לו, בכתב או בעל פה, בעת רכישת הכרטיס, כמועד</w:t>
            </w:r>
            <w:r w:rsidR="00B77B3A">
              <w:rPr>
                <w:rFonts w:hint="cs"/>
                <w:color w:val="222222"/>
                <w:sz w:val="26"/>
                <w:shd w:val="clear" w:color="auto" w:fill="FFFFFF"/>
                <w:rtl/>
              </w:rPr>
              <w:t xml:space="preserve"> הטיסה</w:t>
            </w:r>
            <w:r w:rsidR="00634B6B">
              <w:rPr>
                <w:rFonts w:hint="cs"/>
                <w:color w:val="222222"/>
                <w:sz w:val="26"/>
                <w:shd w:val="clear" w:color="auto" w:fill="FFFFFF"/>
                <w:rtl/>
              </w:rPr>
              <w:t xml:space="preserve"> הנקוב בכרטיס הטיסה</w:t>
            </w:r>
            <w:r>
              <w:rPr>
                <w:rFonts w:hint="cs"/>
                <w:rtl/>
              </w:rPr>
              <w:t>.</w:t>
            </w:r>
          </w:p>
        </w:tc>
      </w:tr>
      <w:tr w:rsidR="009200F1" w14:paraId="7EF7D865" w14:textId="77777777" w:rsidTr="00B22AFF">
        <w:tblPrEx>
          <w:tblLook w:val="01E0" w:firstRow="1" w:lastRow="1" w:firstColumn="1" w:lastColumn="1" w:noHBand="0" w:noVBand="0"/>
        </w:tblPrEx>
        <w:trPr>
          <w:cantSplit/>
          <w:trHeight w:val="60"/>
        </w:trPr>
        <w:tc>
          <w:tcPr>
            <w:tcW w:w="1869" w:type="dxa"/>
          </w:tcPr>
          <w:p w14:paraId="048ED626" w14:textId="77777777" w:rsidR="009200F1" w:rsidRDefault="009200F1">
            <w:pPr>
              <w:pStyle w:val="TableSideHeading"/>
              <w:keepLines w:val="0"/>
              <w:rPr>
                <w:rtl/>
              </w:rPr>
            </w:pPr>
          </w:p>
        </w:tc>
        <w:tc>
          <w:tcPr>
            <w:tcW w:w="623" w:type="dxa"/>
          </w:tcPr>
          <w:p w14:paraId="76BA33E9" w14:textId="77777777" w:rsidR="009200F1" w:rsidRDefault="009200F1" w:rsidP="00B22AFF">
            <w:pPr>
              <w:pStyle w:val="TableText"/>
            </w:pPr>
          </w:p>
        </w:tc>
        <w:tc>
          <w:tcPr>
            <w:tcW w:w="1872" w:type="dxa"/>
            <w:gridSpan w:val="3"/>
          </w:tcPr>
          <w:p w14:paraId="6066761E" w14:textId="77777777" w:rsidR="009200F1" w:rsidRPr="009200F1" w:rsidRDefault="009200F1" w:rsidP="009200F1">
            <w:pPr>
              <w:pStyle w:val="TableSideHeading"/>
              <w:ind w:right="0"/>
              <w:rPr>
                <w:rtl/>
              </w:rPr>
            </w:pPr>
          </w:p>
        </w:tc>
        <w:tc>
          <w:tcPr>
            <w:tcW w:w="624" w:type="dxa"/>
          </w:tcPr>
          <w:p w14:paraId="55CE3C22" w14:textId="77777777" w:rsidR="009200F1" w:rsidRDefault="009200F1">
            <w:pPr>
              <w:pStyle w:val="TableText"/>
              <w:rPr>
                <w:rtl/>
              </w:rPr>
            </w:pPr>
          </w:p>
        </w:tc>
        <w:tc>
          <w:tcPr>
            <w:tcW w:w="4648" w:type="dxa"/>
          </w:tcPr>
          <w:p w14:paraId="63E5B905" w14:textId="7425DD7C" w:rsidR="009200F1" w:rsidRDefault="009200F1" w:rsidP="00B22AFF">
            <w:pPr>
              <w:pStyle w:val="TableBlock"/>
              <w:rPr>
                <w:rtl/>
              </w:rPr>
            </w:pPr>
            <w:r>
              <w:rPr>
                <w:rFonts w:hint="cs"/>
                <w:rtl/>
              </w:rPr>
              <w:t>(ג)</w:t>
            </w:r>
            <w:r>
              <w:rPr>
                <w:rtl/>
              </w:rPr>
              <w:tab/>
            </w:r>
            <w:r w:rsidR="00634B6B">
              <w:rPr>
                <w:rFonts w:hint="cs"/>
                <w:color w:val="222222"/>
                <w:sz w:val="26"/>
                <w:shd w:val="clear" w:color="auto" w:fill="FFFFFF"/>
                <w:rtl/>
              </w:rPr>
              <w:t>טען מפעיל טיסה או מארגן כי שעת הטיסה אינה כפי שטען הנוסע, תחול חובת ההוכחה על מפעיל הטיסה או על המארגן</w:t>
            </w:r>
            <w:r>
              <w:rPr>
                <w:rFonts w:hint="cs"/>
                <w:color w:val="222222"/>
                <w:sz w:val="26"/>
                <w:shd w:val="clear" w:color="auto" w:fill="FFFFFF"/>
                <w:rtl/>
              </w:rPr>
              <w:t>.</w:t>
            </w:r>
          </w:p>
        </w:tc>
      </w:tr>
      <w:tr w:rsidR="009200F1" w14:paraId="0AC1CE28" w14:textId="77777777" w:rsidTr="00B22AFF">
        <w:tblPrEx>
          <w:tblLook w:val="01E0" w:firstRow="1" w:lastRow="1" w:firstColumn="1" w:lastColumn="1" w:noHBand="0" w:noVBand="0"/>
        </w:tblPrEx>
        <w:trPr>
          <w:cantSplit/>
          <w:trHeight w:val="60"/>
        </w:trPr>
        <w:tc>
          <w:tcPr>
            <w:tcW w:w="1869" w:type="dxa"/>
          </w:tcPr>
          <w:p w14:paraId="4FEACAEE" w14:textId="77777777" w:rsidR="009200F1" w:rsidRDefault="009200F1">
            <w:pPr>
              <w:pStyle w:val="TableSideHeading"/>
              <w:keepLines w:val="0"/>
              <w:rPr>
                <w:rtl/>
              </w:rPr>
            </w:pPr>
          </w:p>
        </w:tc>
        <w:tc>
          <w:tcPr>
            <w:tcW w:w="623" w:type="dxa"/>
          </w:tcPr>
          <w:p w14:paraId="7D77F98E" w14:textId="77777777" w:rsidR="009200F1" w:rsidRDefault="009200F1" w:rsidP="00B22AFF">
            <w:pPr>
              <w:pStyle w:val="TableText"/>
            </w:pPr>
          </w:p>
        </w:tc>
        <w:tc>
          <w:tcPr>
            <w:tcW w:w="1872" w:type="dxa"/>
            <w:gridSpan w:val="3"/>
          </w:tcPr>
          <w:p w14:paraId="7EADA867" w14:textId="77777777" w:rsidR="009200F1" w:rsidRPr="009200F1" w:rsidRDefault="009200F1" w:rsidP="009200F1">
            <w:pPr>
              <w:pStyle w:val="TableSideHeading"/>
              <w:ind w:right="0"/>
              <w:rPr>
                <w:rtl/>
              </w:rPr>
            </w:pPr>
          </w:p>
        </w:tc>
        <w:tc>
          <w:tcPr>
            <w:tcW w:w="624" w:type="dxa"/>
          </w:tcPr>
          <w:p w14:paraId="6722864E" w14:textId="77777777" w:rsidR="009200F1" w:rsidRDefault="009200F1">
            <w:pPr>
              <w:pStyle w:val="TableText"/>
              <w:rPr>
                <w:rtl/>
              </w:rPr>
            </w:pPr>
          </w:p>
        </w:tc>
        <w:tc>
          <w:tcPr>
            <w:tcW w:w="4648" w:type="dxa"/>
          </w:tcPr>
          <w:p w14:paraId="32874729" w14:textId="024C78A1" w:rsidR="009200F1" w:rsidRDefault="009200F1" w:rsidP="00B22AFF">
            <w:pPr>
              <w:pStyle w:val="TableBlock"/>
              <w:rPr>
                <w:rtl/>
              </w:rPr>
            </w:pPr>
            <w:r>
              <w:rPr>
                <w:rFonts w:hint="cs"/>
                <w:rtl/>
              </w:rPr>
              <w:t>(ד)</w:t>
            </w:r>
            <w:r>
              <w:rPr>
                <w:rtl/>
              </w:rPr>
              <w:tab/>
            </w:r>
            <w:r w:rsidR="00634B6B">
              <w:rPr>
                <w:rFonts w:hint="cs"/>
                <w:color w:val="222222"/>
                <w:sz w:val="26"/>
                <w:shd w:val="clear" w:color="auto" w:fill="FFFFFF"/>
                <w:rtl/>
              </w:rPr>
              <w:t>במניין הימים והשעות לפי סעיף זה</w:t>
            </w:r>
            <w:r w:rsidR="00634B6B">
              <w:rPr>
                <w:color w:val="222222"/>
                <w:sz w:val="26"/>
                <w:shd w:val="clear" w:color="auto" w:fill="FFFFFF"/>
                <w:rtl/>
              </w:rPr>
              <w:t xml:space="preserve"> לא י</w:t>
            </w:r>
            <w:r w:rsidR="00634B6B">
              <w:rPr>
                <w:rFonts w:hint="cs"/>
                <w:color w:val="222222"/>
                <w:sz w:val="26"/>
                <w:shd w:val="clear" w:color="auto" w:fill="FFFFFF"/>
                <w:rtl/>
              </w:rPr>
              <w:t>ו</w:t>
            </w:r>
            <w:r w:rsidR="00634B6B">
              <w:rPr>
                <w:color w:val="222222"/>
                <w:sz w:val="26"/>
                <w:shd w:val="clear" w:color="auto" w:fill="FFFFFF"/>
                <w:rtl/>
              </w:rPr>
              <w:t>ב</w:t>
            </w:r>
            <w:r w:rsidRPr="001F2AFF">
              <w:rPr>
                <w:color w:val="222222"/>
                <w:sz w:val="26"/>
                <w:shd w:val="clear" w:color="auto" w:fill="FFFFFF"/>
                <w:rtl/>
              </w:rPr>
              <w:t>א</w:t>
            </w:r>
            <w:r w:rsidR="00634B6B">
              <w:rPr>
                <w:rFonts w:hint="cs"/>
                <w:color w:val="222222"/>
                <w:sz w:val="26"/>
                <w:shd w:val="clear" w:color="auto" w:fill="FFFFFF"/>
                <w:rtl/>
              </w:rPr>
              <w:t>ו</w:t>
            </w:r>
            <w:r w:rsidRPr="001F2AFF">
              <w:rPr>
                <w:color w:val="222222"/>
                <w:sz w:val="26"/>
                <w:shd w:val="clear" w:color="auto" w:fill="FFFFFF"/>
                <w:rtl/>
              </w:rPr>
              <w:t xml:space="preserve"> </w:t>
            </w:r>
            <w:r w:rsidR="00634B6B">
              <w:rPr>
                <w:color w:val="222222"/>
                <w:sz w:val="26"/>
                <w:shd w:val="clear" w:color="auto" w:fill="FFFFFF"/>
                <w:rtl/>
              </w:rPr>
              <w:t>ב</w:t>
            </w:r>
            <w:r w:rsidR="00634B6B">
              <w:rPr>
                <w:rFonts w:hint="cs"/>
                <w:color w:val="222222"/>
                <w:sz w:val="26"/>
                <w:shd w:val="clear" w:color="auto" w:fill="FFFFFF"/>
                <w:rtl/>
              </w:rPr>
              <w:t>חשבון</w:t>
            </w:r>
            <w:r w:rsidRPr="001F2AFF">
              <w:rPr>
                <w:color w:val="222222"/>
                <w:sz w:val="26"/>
                <w:shd w:val="clear" w:color="auto" w:fill="FFFFFF"/>
                <w:rtl/>
              </w:rPr>
              <w:t xml:space="preserve"> ימי מנוחה כמשמעותם בפקודת סדרי השלטון והמשפט, התש"ח</w:t>
            </w:r>
            <w:r>
              <w:rPr>
                <w:rFonts w:hint="eastAsia"/>
                <w:color w:val="222222"/>
                <w:sz w:val="26"/>
                <w:shd w:val="clear" w:color="auto" w:fill="FFFFFF"/>
                <w:rtl/>
              </w:rPr>
              <w:t>–</w:t>
            </w:r>
            <w:r w:rsidRPr="001F2AFF">
              <w:rPr>
                <w:color w:val="222222"/>
                <w:sz w:val="26"/>
                <w:shd w:val="clear" w:color="auto" w:fill="FFFFFF"/>
                <w:rtl/>
              </w:rPr>
              <w:t>1948</w:t>
            </w:r>
            <w:r>
              <w:rPr>
                <w:rStyle w:val="a5"/>
                <w:color w:val="222222"/>
                <w:sz w:val="26"/>
                <w:shd w:val="clear" w:color="auto" w:fill="FFFFFF"/>
                <w:rtl/>
              </w:rPr>
              <w:footnoteReference w:id="3"/>
            </w:r>
            <w:r>
              <w:rPr>
                <w:rFonts w:hint="cs"/>
                <w:color w:val="222222"/>
                <w:sz w:val="26"/>
                <w:shd w:val="clear" w:color="auto" w:fill="FFFFFF"/>
                <w:rtl/>
              </w:rPr>
              <w:t>.</w:t>
            </w:r>
            <w:r>
              <w:rPr>
                <w:rFonts w:hint="cs"/>
                <w:rtl/>
              </w:rPr>
              <w:t>"</w:t>
            </w:r>
          </w:p>
        </w:tc>
      </w:tr>
      <w:tr w:rsidR="006F2B51" w14:paraId="48B065F6" w14:textId="77777777" w:rsidTr="00B22AFF">
        <w:tblPrEx>
          <w:tblLook w:val="01E0" w:firstRow="1" w:lastRow="1" w:firstColumn="1" w:lastColumn="1" w:noHBand="0" w:noVBand="0"/>
        </w:tblPrEx>
        <w:trPr>
          <w:cantSplit/>
          <w:trHeight w:val="60"/>
        </w:trPr>
        <w:tc>
          <w:tcPr>
            <w:tcW w:w="1869" w:type="dxa"/>
          </w:tcPr>
          <w:p w14:paraId="1C104809" w14:textId="15F727A0" w:rsidR="006F2B51" w:rsidRDefault="006F2B51">
            <w:pPr>
              <w:pStyle w:val="TableSideHeading"/>
            </w:pPr>
            <w:r>
              <w:rPr>
                <w:rFonts w:hint="cs"/>
                <w:rtl/>
              </w:rPr>
              <w:lastRenderedPageBreak/>
              <w:t>תיקון סעיף 11</w:t>
            </w:r>
          </w:p>
        </w:tc>
        <w:tc>
          <w:tcPr>
            <w:tcW w:w="623" w:type="dxa"/>
          </w:tcPr>
          <w:p w14:paraId="37A85172" w14:textId="14A12700" w:rsidR="006F2B51" w:rsidRDefault="006F2B51">
            <w:pPr>
              <w:pStyle w:val="TableText"/>
            </w:pPr>
            <w:r>
              <w:rPr>
                <w:rFonts w:hint="cs"/>
                <w:rtl/>
              </w:rPr>
              <w:t>2.</w:t>
            </w:r>
          </w:p>
        </w:tc>
        <w:tc>
          <w:tcPr>
            <w:tcW w:w="7144" w:type="dxa"/>
            <w:gridSpan w:val="5"/>
          </w:tcPr>
          <w:p w14:paraId="4F494387" w14:textId="300A8E64" w:rsidR="006F2B51" w:rsidRPr="00C34DE2" w:rsidRDefault="006F2B51">
            <w:pPr>
              <w:pStyle w:val="TableBlock"/>
            </w:pPr>
            <w:r>
              <w:rPr>
                <w:rFonts w:hint="cs"/>
                <w:rtl/>
              </w:rPr>
              <w:t>בסעיף 11 לחוק העיקרי, אחרי סעיף קטן (א) יבוא:</w:t>
            </w:r>
          </w:p>
        </w:tc>
      </w:tr>
      <w:tr w:rsidR="00C040FD" w:rsidRPr="00463132" w14:paraId="112A390D" w14:textId="77777777" w:rsidTr="00B22AFF">
        <w:trPr>
          <w:cantSplit/>
        </w:trPr>
        <w:tc>
          <w:tcPr>
            <w:tcW w:w="1869" w:type="dxa"/>
            <w:tcMar>
              <w:top w:w="91" w:type="dxa"/>
              <w:left w:w="0" w:type="dxa"/>
              <w:bottom w:w="91" w:type="dxa"/>
              <w:right w:w="0" w:type="dxa"/>
            </w:tcMar>
          </w:tcPr>
          <w:p w14:paraId="00A147B2" w14:textId="61BCC060" w:rsidR="00C040FD" w:rsidRPr="006F2B51" w:rsidRDefault="00C040FD" w:rsidP="00B22AFF">
            <w:pPr>
              <w:pStyle w:val="TableSideHeading"/>
              <w:ind w:right="0"/>
              <w:rPr>
                <w:rtl/>
              </w:rPr>
            </w:pPr>
          </w:p>
        </w:tc>
        <w:tc>
          <w:tcPr>
            <w:tcW w:w="623" w:type="dxa"/>
            <w:tcMar>
              <w:top w:w="91" w:type="dxa"/>
              <w:left w:w="0" w:type="dxa"/>
              <w:bottom w:w="91" w:type="dxa"/>
              <w:right w:w="0" w:type="dxa"/>
            </w:tcMar>
          </w:tcPr>
          <w:p w14:paraId="46481855" w14:textId="55D3AB0E" w:rsidR="00C040FD" w:rsidRPr="00463132" w:rsidRDefault="00C040FD" w:rsidP="00B22AFF">
            <w:pPr>
              <w:pStyle w:val="TableText"/>
              <w:ind w:right="0"/>
              <w:jc w:val="both"/>
              <w:rPr>
                <w:sz w:val="26"/>
                <w:rtl/>
              </w:rPr>
            </w:pPr>
            <w:r w:rsidRPr="00463132">
              <w:rPr>
                <w:sz w:val="26"/>
                <w:rtl/>
              </w:rPr>
              <w:tab/>
            </w:r>
          </w:p>
        </w:tc>
        <w:tc>
          <w:tcPr>
            <w:tcW w:w="7144" w:type="dxa"/>
            <w:gridSpan w:val="5"/>
            <w:tcMar>
              <w:top w:w="91" w:type="dxa"/>
              <w:left w:w="0" w:type="dxa"/>
              <w:bottom w:w="91" w:type="dxa"/>
              <w:right w:w="0" w:type="dxa"/>
            </w:tcMar>
          </w:tcPr>
          <w:p w14:paraId="56DA5636" w14:textId="380E2509" w:rsidR="00C040FD" w:rsidRPr="001F2AFF" w:rsidRDefault="006F2B51" w:rsidP="00B22AFF">
            <w:pPr>
              <w:pStyle w:val="TableBlock"/>
              <w:rPr>
                <w:sz w:val="26"/>
                <w:rtl/>
              </w:rPr>
            </w:pPr>
            <w:r>
              <w:rPr>
                <w:rFonts w:hint="cs"/>
                <w:color w:val="222222"/>
                <w:sz w:val="26"/>
                <w:shd w:val="clear" w:color="auto" w:fill="FFFFFF"/>
                <w:rtl/>
              </w:rPr>
              <w:t>"</w:t>
            </w:r>
            <w:r w:rsidR="002E34C6" w:rsidRPr="001F2AFF">
              <w:rPr>
                <w:rFonts w:hint="cs"/>
                <w:color w:val="222222"/>
                <w:sz w:val="26"/>
                <w:shd w:val="clear" w:color="auto" w:fill="FFFFFF"/>
                <w:rtl/>
              </w:rPr>
              <w:t>(א1)</w:t>
            </w:r>
            <w:r>
              <w:rPr>
                <w:color w:val="222222"/>
                <w:sz w:val="26"/>
                <w:shd w:val="clear" w:color="auto" w:fill="FFFFFF"/>
                <w:rtl/>
              </w:rPr>
              <w:tab/>
            </w:r>
            <w:r w:rsidR="00311C72" w:rsidRPr="001F2AFF">
              <w:rPr>
                <w:color w:val="222222"/>
                <w:sz w:val="26"/>
                <w:shd w:val="clear" w:color="auto" w:fill="FFFFFF"/>
                <w:rtl/>
              </w:rPr>
              <w:t>בית המשפט רשאי לפסוק לנוסע פיצויים לדוגמה</w:t>
            </w:r>
            <w:r w:rsidR="00634B6B">
              <w:rPr>
                <w:rFonts w:hint="cs"/>
                <w:color w:val="222222"/>
                <w:sz w:val="26"/>
                <w:shd w:val="clear" w:color="auto" w:fill="FFFFFF"/>
                <w:rtl/>
              </w:rPr>
              <w:t xml:space="preserve"> כאמור בסעיף קטן (א)</w:t>
            </w:r>
            <w:r w:rsidR="00311C72" w:rsidRPr="001F2AFF">
              <w:rPr>
                <w:color w:val="222222"/>
                <w:sz w:val="26"/>
                <w:shd w:val="clear" w:color="auto" w:fill="FFFFFF"/>
                <w:rtl/>
              </w:rPr>
              <w:t xml:space="preserve">, אם מצא כי מפעיל טיסה או מארגן לא </w:t>
            </w:r>
            <w:r w:rsidR="00634B6B">
              <w:rPr>
                <w:rFonts w:hint="cs"/>
                <w:color w:val="222222"/>
                <w:sz w:val="26"/>
                <w:shd w:val="clear" w:color="auto" w:fill="FFFFFF"/>
                <w:rtl/>
              </w:rPr>
              <w:t>הנפיק לנוסע</w:t>
            </w:r>
            <w:r w:rsidR="00727CA4">
              <w:rPr>
                <w:rFonts w:hint="cs"/>
                <w:color w:val="222222"/>
                <w:sz w:val="26"/>
                <w:shd w:val="clear" w:color="auto" w:fill="FFFFFF"/>
                <w:rtl/>
              </w:rPr>
              <w:t xml:space="preserve"> </w:t>
            </w:r>
            <w:r w:rsidR="00311C72" w:rsidRPr="001F2AFF">
              <w:rPr>
                <w:color w:val="222222"/>
                <w:sz w:val="26"/>
                <w:shd w:val="clear" w:color="auto" w:fill="FFFFFF"/>
                <w:rtl/>
              </w:rPr>
              <w:t>כרטיס טיסה</w:t>
            </w:r>
            <w:r w:rsidR="00CD6ABD">
              <w:rPr>
                <w:rFonts w:hint="cs"/>
                <w:color w:val="222222"/>
                <w:sz w:val="26"/>
                <w:shd w:val="clear" w:color="auto" w:fill="FFFFFF"/>
                <w:rtl/>
              </w:rPr>
              <w:t xml:space="preserve"> ולא מסר לו את הכרטיס</w:t>
            </w:r>
            <w:r w:rsidR="00311C72" w:rsidRPr="001F2AFF">
              <w:rPr>
                <w:color w:val="222222"/>
                <w:sz w:val="26"/>
                <w:shd w:val="clear" w:color="auto" w:fill="FFFFFF"/>
                <w:rtl/>
              </w:rPr>
              <w:t xml:space="preserve"> במועד</w:t>
            </w:r>
            <w:r w:rsidR="00B77B3A">
              <w:rPr>
                <w:rFonts w:hint="cs"/>
                <w:color w:val="222222"/>
                <w:sz w:val="26"/>
                <w:shd w:val="clear" w:color="auto" w:fill="FFFFFF"/>
                <w:rtl/>
              </w:rPr>
              <w:t>,</w:t>
            </w:r>
            <w:r w:rsidR="00CD6ABD">
              <w:rPr>
                <w:rFonts w:hint="cs"/>
                <w:color w:val="222222"/>
                <w:sz w:val="26"/>
                <w:shd w:val="clear" w:color="auto" w:fill="FFFFFF"/>
                <w:rtl/>
              </w:rPr>
              <w:t xml:space="preserve"> ביודעין</w:t>
            </w:r>
            <w:r w:rsidR="00311C72" w:rsidRPr="001F2AFF">
              <w:rPr>
                <w:color w:val="222222"/>
                <w:sz w:val="26"/>
                <w:shd w:val="clear" w:color="auto" w:fill="FFFFFF"/>
                <w:rtl/>
              </w:rPr>
              <w:t>, בניגוד להוראות סעיף 2א</w:t>
            </w:r>
            <w:r>
              <w:rPr>
                <w:rFonts w:hint="cs"/>
                <w:color w:val="222222"/>
                <w:sz w:val="26"/>
                <w:shd w:val="clear" w:color="auto" w:fill="FFFFFF"/>
                <w:rtl/>
              </w:rPr>
              <w:t>."</w:t>
            </w:r>
          </w:p>
        </w:tc>
      </w:tr>
      <w:tr w:rsidR="00C040FD" w:rsidRPr="00463132" w14:paraId="0DA9CE72" w14:textId="77777777" w:rsidTr="00B22AFF">
        <w:trPr>
          <w:cantSplit/>
        </w:trPr>
        <w:tc>
          <w:tcPr>
            <w:tcW w:w="1869" w:type="dxa"/>
            <w:tcMar>
              <w:top w:w="91" w:type="dxa"/>
              <w:left w:w="0" w:type="dxa"/>
              <w:bottom w:w="91" w:type="dxa"/>
              <w:right w:w="0" w:type="dxa"/>
            </w:tcMar>
          </w:tcPr>
          <w:p w14:paraId="1BDB5CA0" w14:textId="695CAF87" w:rsidR="00C040FD" w:rsidRPr="006F2B51" w:rsidRDefault="004C4519" w:rsidP="00B22AFF">
            <w:pPr>
              <w:pStyle w:val="TableSideHeading"/>
              <w:ind w:right="0"/>
              <w:rPr>
                <w:rtl/>
              </w:rPr>
            </w:pPr>
            <w:r w:rsidRPr="006F2B51">
              <w:rPr>
                <w:rFonts w:hint="eastAsia"/>
                <w:rtl/>
              </w:rPr>
              <w:t>תיקון</w:t>
            </w:r>
            <w:r w:rsidR="00C040FD" w:rsidRPr="006F2B51">
              <w:rPr>
                <w:rtl/>
              </w:rPr>
              <w:t xml:space="preserve"> סעיף</w:t>
            </w:r>
            <w:r w:rsidR="002E34C6" w:rsidRPr="006F2B51">
              <w:rPr>
                <w:rtl/>
              </w:rPr>
              <w:t xml:space="preserve"> 13</w:t>
            </w:r>
          </w:p>
        </w:tc>
        <w:tc>
          <w:tcPr>
            <w:tcW w:w="623" w:type="dxa"/>
            <w:tcMar>
              <w:top w:w="91" w:type="dxa"/>
              <w:left w:w="0" w:type="dxa"/>
              <w:bottom w:w="91" w:type="dxa"/>
              <w:right w:w="0" w:type="dxa"/>
            </w:tcMar>
          </w:tcPr>
          <w:p w14:paraId="497D22BE" w14:textId="77777777" w:rsidR="00C040FD" w:rsidRPr="00463132" w:rsidRDefault="00C040FD" w:rsidP="00B22AFF">
            <w:pPr>
              <w:pStyle w:val="TableText"/>
              <w:ind w:right="0"/>
              <w:jc w:val="both"/>
              <w:rPr>
                <w:sz w:val="26"/>
                <w:rtl/>
              </w:rPr>
            </w:pPr>
            <w:r w:rsidRPr="00B22AFF">
              <w:rPr>
                <w:rtl/>
              </w:rPr>
              <w:t>3</w:t>
            </w:r>
            <w:r>
              <w:rPr>
                <w:rFonts w:hint="cs"/>
                <w:sz w:val="26"/>
                <w:rtl/>
              </w:rPr>
              <w:t>.</w:t>
            </w:r>
          </w:p>
        </w:tc>
        <w:tc>
          <w:tcPr>
            <w:tcW w:w="7144" w:type="dxa"/>
            <w:gridSpan w:val="5"/>
            <w:tcMar>
              <w:top w:w="91" w:type="dxa"/>
              <w:left w:w="0" w:type="dxa"/>
              <w:bottom w:w="91" w:type="dxa"/>
              <w:right w:w="0" w:type="dxa"/>
            </w:tcMar>
          </w:tcPr>
          <w:p w14:paraId="65EB4458" w14:textId="278681D0" w:rsidR="00C040FD" w:rsidRPr="001F2AFF" w:rsidRDefault="007447EF" w:rsidP="00B22AFF">
            <w:pPr>
              <w:pStyle w:val="TableBlock"/>
              <w:rPr>
                <w:sz w:val="26"/>
                <w:rtl/>
              </w:rPr>
            </w:pPr>
            <w:r w:rsidRPr="001F2AFF">
              <w:rPr>
                <w:color w:val="222222"/>
                <w:sz w:val="26"/>
                <w:shd w:val="clear" w:color="auto" w:fill="FFFFFF"/>
                <w:rtl/>
              </w:rPr>
              <w:t>בסעיף 13 לחוק העיקרי, במקום "עליית" יבוא "שינוי</w:t>
            </w:r>
            <w:r w:rsidRPr="001F2AFF">
              <w:rPr>
                <w:rFonts w:hint="cs"/>
                <w:color w:val="222222"/>
                <w:sz w:val="26"/>
                <w:shd w:val="clear" w:color="auto" w:fill="FFFFFF"/>
                <w:rtl/>
              </w:rPr>
              <w:t>".</w:t>
            </w:r>
            <w:r w:rsidR="00EE36DB" w:rsidRPr="001F2AFF">
              <w:rPr>
                <w:sz w:val="26"/>
                <w:rtl/>
              </w:rPr>
              <w:t xml:space="preserve"> </w:t>
            </w:r>
          </w:p>
        </w:tc>
      </w:tr>
      <w:tr w:rsidR="006F2B51" w:rsidRPr="00463132" w14:paraId="4B5CCD9A" w14:textId="77777777" w:rsidTr="006F2B51">
        <w:trPr>
          <w:cantSplit/>
        </w:trPr>
        <w:tc>
          <w:tcPr>
            <w:tcW w:w="1869" w:type="dxa"/>
            <w:tcMar>
              <w:top w:w="91" w:type="dxa"/>
              <w:left w:w="0" w:type="dxa"/>
              <w:bottom w:w="91" w:type="dxa"/>
              <w:right w:w="0" w:type="dxa"/>
            </w:tcMar>
          </w:tcPr>
          <w:p w14:paraId="0B724D73" w14:textId="4F2C9AB7" w:rsidR="006F2B51" w:rsidRPr="006F2B51" w:rsidRDefault="006F2B51" w:rsidP="006F2B51">
            <w:pPr>
              <w:pStyle w:val="TableSideHeading"/>
              <w:ind w:right="0"/>
              <w:rPr>
                <w:rtl/>
              </w:rPr>
            </w:pPr>
            <w:r>
              <w:rPr>
                <w:rFonts w:hint="cs"/>
                <w:rtl/>
              </w:rPr>
              <w:t>תיקון סעיף 14</w:t>
            </w:r>
          </w:p>
        </w:tc>
        <w:tc>
          <w:tcPr>
            <w:tcW w:w="623" w:type="dxa"/>
            <w:tcMar>
              <w:top w:w="91" w:type="dxa"/>
              <w:left w:w="0" w:type="dxa"/>
              <w:bottom w:w="91" w:type="dxa"/>
              <w:right w:w="0" w:type="dxa"/>
            </w:tcMar>
          </w:tcPr>
          <w:p w14:paraId="3B11F2BE" w14:textId="289A4C15" w:rsidR="006F2B51" w:rsidRPr="009200F1" w:rsidRDefault="006F2B51" w:rsidP="00B22AFF">
            <w:pPr>
              <w:pStyle w:val="TableText"/>
              <w:rPr>
                <w:rtl/>
              </w:rPr>
            </w:pPr>
            <w:r>
              <w:rPr>
                <w:rFonts w:hint="cs"/>
                <w:rtl/>
              </w:rPr>
              <w:t>4.</w:t>
            </w:r>
          </w:p>
        </w:tc>
        <w:tc>
          <w:tcPr>
            <w:tcW w:w="7144" w:type="dxa"/>
            <w:gridSpan w:val="5"/>
            <w:tcMar>
              <w:top w:w="91" w:type="dxa"/>
              <w:left w:w="0" w:type="dxa"/>
              <w:bottom w:w="91" w:type="dxa"/>
              <w:right w:w="0" w:type="dxa"/>
            </w:tcMar>
          </w:tcPr>
          <w:p w14:paraId="3A9A452E" w14:textId="70929461" w:rsidR="006F2B51" w:rsidRDefault="006F2B51" w:rsidP="00B22AFF">
            <w:pPr>
              <w:pStyle w:val="TableBlock"/>
              <w:rPr>
                <w:color w:val="222222"/>
                <w:sz w:val="26"/>
                <w:shd w:val="clear" w:color="auto" w:fill="FFFFFF"/>
                <w:rtl/>
              </w:rPr>
            </w:pPr>
            <w:r>
              <w:rPr>
                <w:rFonts w:hint="cs"/>
                <w:color w:val="222222"/>
                <w:sz w:val="26"/>
                <w:shd w:val="clear" w:color="auto" w:fill="FFFFFF"/>
                <w:rtl/>
              </w:rPr>
              <w:t>בסעיף 14</w:t>
            </w:r>
            <w:r w:rsidR="00727CA4">
              <w:rPr>
                <w:rFonts w:hint="cs"/>
                <w:color w:val="222222"/>
                <w:sz w:val="26"/>
                <w:shd w:val="clear" w:color="auto" w:fill="FFFFFF"/>
                <w:rtl/>
              </w:rPr>
              <w:t xml:space="preserve">(ב) לחוק העיקרי, </w:t>
            </w:r>
            <w:r>
              <w:rPr>
                <w:rFonts w:hint="cs"/>
                <w:color w:val="222222"/>
                <w:sz w:val="26"/>
                <w:shd w:val="clear" w:color="auto" w:fill="FFFFFF"/>
                <w:rtl/>
              </w:rPr>
              <w:t xml:space="preserve">במקום </w:t>
            </w:r>
            <w:r w:rsidR="008739E1">
              <w:rPr>
                <w:rFonts w:hint="cs"/>
                <w:color w:val="222222"/>
                <w:sz w:val="26"/>
                <w:shd w:val="clear" w:color="auto" w:fill="FFFFFF"/>
                <w:rtl/>
              </w:rPr>
              <w:t>"זכאי לקבל ממפעיל הטיסה או מהמאר</w:t>
            </w:r>
            <w:r w:rsidR="00CD6ABD">
              <w:rPr>
                <w:rFonts w:hint="cs"/>
                <w:color w:val="222222"/>
                <w:sz w:val="26"/>
                <w:shd w:val="clear" w:color="auto" w:fill="FFFFFF"/>
                <w:rtl/>
              </w:rPr>
              <w:t>גן"</w:t>
            </w:r>
            <w:r w:rsidR="008739E1">
              <w:rPr>
                <w:rFonts w:hint="cs"/>
                <w:color w:val="222222"/>
                <w:sz w:val="26"/>
                <w:shd w:val="clear" w:color="auto" w:fill="FFFFFF"/>
                <w:rtl/>
              </w:rPr>
              <w:t xml:space="preserve"> יבוא "</w:t>
            </w:r>
            <w:r w:rsidR="00CD6ABD">
              <w:rPr>
                <w:rFonts w:hint="cs"/>
                <w:color w:val="222222"/>
                <w:sz w:val="26"/>
                <w:shd w:val="clear" w:color="auto" w:fill="FFFFFF"/>
                <w:rtl/>
              </w:rPr>
              <w:t>ימסור לו מפעיל הטיסה או המארגן</w:t>
            </w:r>
            <w:r w:rsidR="008739E1">
              <w:rPr>
                <w:rFonts w:hint="cs"/>
                <w:color w:val="222222"/>
                <w:sz w:val="26"/>
                <w:shd w:val="clear" w:color="auto" w:fill="FFFFFF"/>
                <w:rtl/>
              </w:rPr>
              <w:t>, מיד עם התקיימות העילה המזכה,"</w:t>
            </w:r>
            <w:r w:rsidR="00B77B3A">
              <w:rPr>
                <w:rFonts w:hint="cs"/>
                <w:color w:val="222222"/>
                <w:sz w:val="26"/>
                <w:shd w:val="clear" w:color="auto" w:fill="FFFFFF"/>
                <w:rtl/>
              </w:rPr>
              <w:t>.</w:t>
            </w:r>
          </w:p>
        </w:tc>
      </w:tr>
      <w:tr w:rsidR="008739E1" w14:paraId="20BAFB17" w14:textId="77777777" w:rsidTr="006F2B51">
        <w:tblPrEx>
          <w:tblLook w:val="01E0" w:firstRow="1" w:lastRow="1" w:firstColumn="1" w:lastColumn="1" w:noHBand="0" w:noVBand="0"/>
        </w:tblPrEx>
        <w:trPr>
          <w:cantSplit/>
        </w:trPr>
        <w:tc>
          <w:tcPr>
            <w:tcW w:w="1869" w:type="dxa"/>
          </w:tcPr>
          <w:p w14:paraId="2E6A7DFF" w14:textId="1DCFEF55" w:rsidR="008739E1" w:rsidRPr="00463132" w:rsidRDefault="008739E1" w:rsidP="002C3041">
            <w:pPr>
              <w:pStyle w:val="TableSideHeading"/>
              <w:keepLines w:val="0"/>
              <w:rPr>
                <w:sz w:val="26"/>
                <w:rtl/>
              </w:rPr>
            </w:pPr>
            <w:r>
              <w:rPr>
                <w:rFonts w:hint="cs"/>
                <w:sz w:val="26"/>
                <w:rtl/>
              </w:rPr>
              <w:t>הוספת סעיף 18א</w:t>
            </w:r>
          </w:p>
        </w:tc>
        <w:tc>
          <w:tcPr>
            <w:tcW w:w="623" w:type="dxa"/>
          </w:tcPr>
          <w:p w14:paraId="46706133" w14:textId="2C7CD9F1" w:rsidR="008739E1" w:rsidRDefault="00AE2DF5" w:rsidP="00B22AFF">
            <w:pPr>
              <w:pStyle w:val="TableText"/>
              <w:rPr>
                <w:rtl/>
              </w:rPr>
            </w:pPr>
            <w:r>
              <w:rPr>
                <w:rFonts w:hint="cs"/>
                <w:rtl/>
              </w:rPr>
              <w:t>5</w:t>
            </w:r>
            <w:r w:rsidR="008739E1">
              <w:rPr>
                <w:rFonts w:hint="cs"/>
                <w:rtl/>
              </w:rPr>
              <w:t>.</w:t>
            </w:r>
          </w:p>
        </w:tc>
        <w:tc>
          <w:tcPr>
            <w:tcW w:w="7144" w:type="dxa"/>
            <w:gridSpan w:val="5"/>
          </w:tcPr>
          <w:p w14:paraId="604DB8E4" w14:textId="6C161209" w:rsidR="008739E1" w:rsidRPr="008739E1" w:rsidRDefault="008739E1" w:rsidP="008739E1">
            <w:pPr>
              <w:pStyle w:val="TableBlock"/>
              <w:rPr>
                <w:highlight w:val="yellow"/>
                <w:rtl/>
              </w:rPr>
            </w:pPr>
            <w:r w:rsidRPr="00B22AFF">
              <w:rPr>
                <w:rFonts w:hint="eastAsia"/>
                <w:rtl/>
              </w:rPr>
              <w:t>אחרי</w:t>
            </w:r>
            <w:r w:rsidRPr="00B22AFF">
              <w:rPr>
                <w:rtl/>
              </w:rPr>
              <w:t xml:space="preserve"> </w:t>
            </w:r>
            <w:r w:rsidRPr="00B22AFF">
              <w:rPr>
                <w:rFonts w:hint="eastAsia"/>
                <w:rtl/>
              </w:rPr>
              <w:t>סעיף</w:t>
            </w:r>
            <w:r w:rsidRPr="00B22AFF">
              <w:rPr>
                <w:rtl/>
              </w:rPr>
              <w:t xml:space="preserve"> 18 </w:t>
            </w:r>
            <w:r w:rsidRPr="00B22AFF">
              <w:rPr>
                <w:rFonts w:hint="eastAsia"/>
                <w:rtl/>
              </w:rPr>
              <w:t>לחוק</w:t>
            </w:r>
            <w:r w:rsidRPr="00B22AFF">
              <w:rPr>
                <w:rtl/>
              </w:rPr>
              <w:t xml:space="preserve"> </w:t>
            </w:r>
            <w:r w:rsidRPr="00B22AFF">
              <w:rPr>
                <w:rFonts w:hint="eastAsia"/>
                <w:rtl/>
              </w:rPr>
              <w:t>העיקרי</w:t>
            </w:r>
            <w:r w:rsidRPr="00B22AFF">
              <w:rPr>
                <w:rtl/>
              </w:rPr>
              <w:t xml:space="preserve"> </w:t>
            </w:r>
            <w:r w:rsidRPr="00B22AFF">
              <w:rPr>
                <w:rFonts w:hint="eastAsia"/>
                <w:rtl/>
              </w:rPr>
              <w:t>יבוא</w:t>
            </w:r>
            <w:r w:rsidRPr="00B22AFF">
              <w:rPr>
                <w:rtl/>
              </w:rPr>
              <w:t>:</w:t>
            </w:r>
          </w:p>
        </w:tc>
      </w:tr>
      <w:tr w:rsidR="008739E1" w14:paraId="26BBF01B" w14:textId="77777777" w:rsidTr="00B22AFF">
        <w:tblPrEx>
          <w:tblLook w:val="01E0" w:firstRow="1" w:lastRow="1" w:firstColumn="1" w:lastColumn="1" w:noHBand="0" w:noVBand="0"/>
        </w:tblPrEx>
        <w:trPr>
          <w:cantSplit/>
          <w:trHeight w:val="60"/>
        </w:trPr>
        <w:tc>
          <w:tcPr>
            <w:tcW w:w="1869" w:type="dxa"/>
          </w:tcPr>
          <w:p w14:paraId="6EDE5377" w14:textId="77777777" w:rsidR="008739E1" w:rsidRPr="00B22AFF" w:rsidRDefault="008739E1">
            <w:pPr>
              <w:pStyle w:val="TableSideHeading"/>
              <w:keepLines w:val="0"/>
              <w:rPr>
                <w:highlight w:val="yellow"/>
              </w:rPr>
            </w:pPr>
          </w:p>
        </w:tc>
        <w:tc>
          <w:tcPr>
            <w:tcW w:w="623" w:type="dxa"/>
          </w:tcPr>
          <w:p w14:paraId="6234EEF2" w14:textId="77777777" w:rsidR="008739E1" w:rsidRPr="00B22AFF" w:rsidRDefault="008739E1">
            <w:pPr>
              <w:pStyle w:val="TableText"/>
              <w:keepLines w:val="0"/>
              <w:rPr>
                <w:highlight w:val="yellow"/>
              </w:rPr>
            </w:pPr>
          </w:p>
        </w:tc>
        <w:tc>
          <w:tcPr>
            <w:tcW w:w="1872" w:type="dxa"/>
            <w:gridSpan w:val="3"/>
          </w:tcPr>
          <w:p w14:paraId="23BF975A" w14:textId="603543DA" w:rsidR="008739E1" w:rsidRPr="000E70F5" w:rsidRDefault="008739E1">
            <w:pPr>
              <w:pStyle w:val="TableInnerSideHeading"/>
            </w:pPr>
            <w:r w:rsidRPr="000E70F5">
              <w:rPr>
                <w:rtl/>
              </w:rPr>
              <w:t>"</w:t>
            </w:r>
            <w:r w:rsidR="008D7A8A" w:rsidRPr="000E70F5">
              <w:rPr>
                <w:rFonts w:hint="eastAsia"/>
                <w:rtl/>
              </w:rPr>
              <w:t>אכיפת</w:t>
            </w:r>
            <w:r w:rsidR="008D7A8A" w:rsidRPr="000E70F5">
              <w:rPr>
                <w:rtl/>
              </w:rPr>
              <w:t xml:space="preserve"> </w:t>
            </w:r>
            <w:r w:rsidR="008D7A8A" w:rsidRPr="000E70F5">
              <w:rPr>
                <w:rFonts w:hint="eastAsia"/>
                <w:rtl/>
              </w:rPr>
              <w:t>הוראות</w:t>
            </w:r>
            <w:r w:rsidR="008D7A8A" w:rsidRPr="000E70F5">
              <w:rPr>
                <w:rtl/>
              </w:rPr>
              <w:t xml:space="preserve"> </w:t>
            </w:r>
            <w:r w:rsidR="008D7A8A" w:rsidRPr="000E70F5">
              <w:rPr>
                <w:rFonts w:hint="eastAsia"/>
                <w:rtl/>
              </w:rPr>
              <w:t>החוק</w:t>
            </w:r>
          </w:p>
        </w:tc>
        <w:tc>
          <w:tcPr>
            <w:tcW w:w="624" w:type="dxa"/>
          </w:tcPr>
          <w:p w14:paraId="081E1E95" w14:textId="74BE4D81" w:rsidR="008739E1" w:rsidRPr="000E70F5" w:rsidRDefault="008739E1">
            <w:pPr>
              <w:pStyle w:val="TableText"/>
            </w:pPr>
            <w:r w:rsidRPr="000E70F5">
              <w:rPr>
                <w:rtl/>
              </w:rPr>
              <w:t>18א.</w:t>
            </w:r>
          </w:p>
        </w:tc>
        <w:tc>
          <w:tcPr>
            <w:tcW w:w="4648" w:type="dxa"/>
          </w:tcPr>
          <w:p w14:paraId="0687E72A" w14:textId="16187295" w:rsidR="008739E1" w:rsidRPr="000E70F5" w:rsidRDefault="00246A77" w:rsidP="00B22AFF">
            <w:pPr>
              <w:pStyle w:val="TableBlock"/>
            </w:pPr>
            <w:r w:rsidRPr="00B22AFF">
              <w:rPr>
                <w:rFonts w:hint="eastAsia"/>
                <w:rtl/>
              </w:rPr>
              <w:t>הרשות</w:t>
            </w:r>
            <w:r w:rsidRPr="00B22AFF">
              <w:rPr>
                <w:rtl/>
              </w:rPr>
              <w:t xml:space="preserve"> להגנת הצרכן ולסחר הוגן כמשמעותה בחוק הגנת הצרכן, </w:t>
            </w:r>
            <w:r w:rsidRPr="00B22AFF">
              <w:rPr>
                <w:rFonts w:hint="eastAsia"/>
                <w:rtl/>
              </w:rPr>
              <w:t>התשמ</w:t>
            </w:r>
            <w:r w:rsidRPr="00B22AFF">
              <w:rPr>
                <w:rtl/>
              </w:rPr>
              <w:t>"א</w:t>
            </w:r>
            <w:r w:rsidRPr="00B22AFF">
              <w:rPr>
                <w:rFonts w:hint="eastAsia"/>
                <w:rtl/>
              </w:rPr>
              <w:t>–</w:t>
            </w:r>
            <w:r w:rsidRPr="00B22AFF">
              <w:rPr>
                <w:rtl/>
              </w:rPr>
              <w:t>1981</w:t>
            </w:r>
            <w:r w:rsidRPr="00B22AFF">
              <w:rPr>
                <w:rStyle w:val="a5"/>
                <w:rtl/>
              </w:rPr>
              <w:footnoteReference w:id="4"/>
            </w:r>
            <w:r w:rsidR="00831889">
              <w:rPr>
                <w:rFonts w:hint="cs"/>
                <w:rtl/>
              </w:rPr>
              <w:t xml:space="preserve"> (בסעיף זה </w:t>
            </w:r>
            <w:r w:rsidR="00831889">
              <w:rPr>
                <w:rFonts w:hint="eastAsia"/>
                <w:rtl/>
              </w:rPr>
              <w:t>– הרשות</w:t>
            </w:r>
            <w:r w:rsidR="00831889">
              <w:rPr>
                <w:rFonts w:hint="cs"/>
                <w:rtl/>
              </w:rPr>
              <w:t>)</w:t>
            </w:r>
            <w:r w:rsidRPr="00B22AFF">
              <w:rPr>
                <w:rtl/>
              </w:rPr>
              <w:t>,</w:t>
            </w:r>
            <w:r w:rsidR="008739E1" w:rsidRPr="000E70F5">
              <w:rPr>
                <w:rtl/>
              </w:rPr>
              <w:t xml:space="preserve"> </w:t>
            </w:r>
            <w:r w:rsidRPr="00B22AFF">
              <w:rPr>
                <w:rFonts w:hint="eastAsia"/>
                <w:rtl/>
              </w:rPr>
              <w:t>תפעל</w:t>
            </w:r>
            <w:r w:rsidRPr="00B22AFF">
              <w:rPr>
                <w:rtl/>
              </w:rPr>
              <w:t xml:space="preserve"> </w:t>
            </w:r>
            <w:r w:rsidRPr="00B22AFF">
              <w:rPr>
                <w:rFonts w:hint="eastAsia"/>
                <w:rtl/>
              </w:rPr>
              <w:t>לפי</w:t>
            </w:r>
            <w:r w:rsidRPr="00B22AFF">
              <w:rPr>
                <w:rtl/>
              </w:rPr>
              <w:t xml:space="preserve"> </w:t>
            </w:r>
            <w:r w:rsidRPr="00B22AFF">
              <w:rPr>
                <w:rFonts w:hint="eastAsia"/>
                <w:rtl/>
              </w:rPr>
              <w:t>סמכויותיה</w:t>
            </w:r>
            <w:r w:rsidRPr="00B22AFF">
              <w:rPr>
                <w:rtl/>
              </w:rPr>
              <w:t xml:space="preserve"> </w:t>
            </w:r>
            <w:r w:rsidRPr="00B22AFF">
              <w:rPr>
                <w:rFonts w:hint="eastAsia"/>
                <w:rtl/>
              </w:rPr>
              <w:t>כדין</w:t>
            </w:r>
            <w:r w:rsidRPr="00B22AFF">
              <w:rPr>
                <w:rtl/>
              </w:rPr>
              <w:t xml:space="preserve"> </w:t>
            </w:r>
            <w:r w:rsidRPr="00B22AFF">
              <w:rPr>
                <w:rFonts w:hint="eastAsia"/>
                <w:rtl/>
              </w:rPr>
              <w:t>לשם</w:t>
            </w:r>
            <w:r w:rsidRPr="00B22AFF">
              <w:rPr>
                <w:rtl/>
              </w:rPr>
              <w:t xml:space="preserve"> </w:t>
            </w:r>
            <w:r w:rsidRPr="00B22AFF">
              <w:rPr>
                <w:rFonts w:hint="eastAsia"/>
                <w:rtl/>
              </w:rPr>
              <w:t>אכיפת</w:t>
            </w:r>
            <w:r w:rsidRPr="00B22AFF">
              <w:rPr>
                <w:rtl/>
              </w:rPr>
              <w:t xml:space="preserve"> </w:t>
            </w:r>
            <w:r w:rsidRPr="00B22AFF">
              <w:rPr>
                <w:rFonts w:hint="eastAsia"/>
                <w:rtl/>
              </w:rPr>
              <w:t>הוראות</w:t>
            </w:r>
            <w:r w:rsidRPr="00B22AFF">
              <w:rPr>
                <w:rtl/>
              </w:rPr>
              <w:t xml:space="preserve"> </w:t>
            </w:r>
            <w:r w:rsidRPr="00B22AFF">
              <w:rPr>
                <w:rFonts w:hint="eastAsia"/>
                <w:rtl/>
              </w:rPr>
              <w:t>חוק</w:t>
            </w:r>
            <w:r w:rsidRPr="00B22AFF">
              <w:rPr>
                <w:rtl/>
              </w:rPr>
              <w:t xml:space="preserve"> </w:t>
            </w:r>
            <w:r w:rsidRPr="00B22AFF">
              <w:rPr>
                <w:rFonts w:hint="eastAsia"/>
                <w:rtl/>
              </w:rPr>
              <w:t>זה</w:t>
            </w:r>
            <w:r w:rsidR="008739E1" w:rsidRPr="000E70F5">
              <w:rPr>
                <w:rtl/>
              </w:rPr>
              <w:t>,</w:t>
            </w:r>
            <w:r w:rsidR="00B77B3A">
              <w:rPr>
                <w:rFonts w:hint="cs"/>
                <w:rtl/>
              </w:rPr>
              <w:t xml:space="preserve"> ובכלל זה </w:t>
            </w:r>
            <w:r w:rsidR="00B77B3A">
              <w:rPr>
                <w:rFonts w:hint="eastAsia"/>
                <w:rtl/>
              </w:rPr>
              <w:t>–</w:t>
            </w:r>
          </w:p>
        </w:tc>
      </w:tr>
      <w:tr w:rsidR="0032070B" w14:paraId="35FAC82C" w14:textId="77777777" w:rsidTr="0037144D">
        <w:tblPrEx>
          <w:tblLook w:val="01E0" w:firstRow="1" w:lastRow="1" w:firstColumn="1" w:lastColumn="1" w:noHBand="0" w:noVBand="0"/>
        </w:tblPrEx>
        <w:trPr>
          <w:cantSplit/>
          <w:trHeight w:val="60"/>
        </w:trPr>
        <w:tc>
          <w:tcPr>
            <w:tcW w:w="1869" w:type="dxa"/>
          </w:tcPr>
          <w:p w14:paraId="42F07B0C" w14:textId="77777777" w:rsidR="0032070B" w:rsidRDefault="0032070B">
            <w:pPr>
              <w:pStyle w:val="TableSideHeading"/>
            </w:pPr>
          </w:p>
        </w:tc>
        <w:tc>
          <w:tcPr>
            <w:tcW w:w="623" w:type="dxa"/>
          </w:tcPr>
          <w:p w14:paraId="1EAD48B0" w14:textId="77777777" w:rsidR="0032070B" w:rsidRDefault="0032070B">
            <w:pPr>
              <w:pStyle w:val="TableText"/>
            </w:pPr>
          </w:p>
        </w:tc>
        <w:tc>
          <w:tcPr>
            <w:tcW w:w="624" w:type="dxa"/>
          </w:tcPr>
          <w:p w14:paraId="78CA4CCB" w14:textId="77777777" w:rsidR="0032070B" w:rsidRDefault="0032070B">
            <w:pPr>
              <w:pStyle w:val="TableText"/>
            </w:pPr>
          </w:p>
        </w:tc>
        <w:tc>
          <w:tcPr>
            <w:tcW w:w="624" w:type="dxa"/>
          </w:tcPr>
          <w:p w14:paraId="03F1052E" w14:textId="77777777" w:rsidR="0032070B" w:rsidRDefault="0032070B">
            <w:pPr>
              <w:pStyle w:val="TableText"/>
            </w:pPr>
          </w:p>
        </w:tc>
        <w:tc>
          <w:tcPr>
            <w:tcW w:w="624" w:type="dxa"/>
          </w:tcPr>
          <w:p w14:paraId="50606BE2" w14:textId="77777777" w:rsidR="0032070B" w:rsidRDefault="0032070B">
            <w:pPr>
              <w:pStyle w:val="TableText"/>
            </w:pPr>
          </w:p>
        </w:tc>
        <w:tc>
          <w:tcPr>
            <w:tcW w:w="624" w:type="dxa"/>
          </w:tcPr>
          <w:p w14:paraId="1E17A375" w14:textId="77777777" w:rsidR="0032070B" w:rsidRDefault="0032070B">
            <w:pPr>
              <w:pStyle w:val="TableText"/>
            </w:pPr>
          </w:p>
        </w:tc>
        <w:tc>
          <w:tcPr>
            <w:tcW w:w="4648" w:type="dxa"/>
          </w:tcPr>
          <w:p w14:paraId="238810D7" w14:textId="17CEDE15" w:rsidR="0032070B" w:rsidRDefault="0032070B">
            <w:pPr>
              <w:pStyle w:val="TableBlock"/>
            </w:pPr>
            <w:r>
              <w:rPr>
                <w:rFonts w:hint="cs"/>
                <w:rtl/>
              </w:rPr>
              <w:t>(1)</w:t>
            </w:r>
            <w:r>
              <w:rPr>
                <w:rtl/>
              </w:rPr>
              <w:tab/>
            </w:r>
            <w:r>
              <w:rPr>
                <w:rFonts w:hint="cs"/>
                <w:rtl/>
              </w:rPr>
              <w:t>תיזום ותקיים קשרים עם גורמים בין-לאומיים הנוגעים בדבר;</w:t>
            </w:r>
          </w:p>
        </w:tc>
      </w:tr>
      <w:tr w:rsidR="0032070B" w14:paraId="54ACA56C" w14:textId="77777777" w:rsidTr="00B77087">
        <w:tblPrEx>
          <w:tblLook w:val="01E0" w:firstRow="1" w:lastRow="1" w:firstColumn="1" w:lastColumn="1" w:noHBand="0" w:noVBand="0"/>
        </w:tblPrEx>
        <w:trPr>
          <w:cantSplit/>
          <w:trHeight w:val="60"/>
        </w:trPr>
        <w:tc>
          <w:tcPr>
            <w:tcW w:w="1869" w:type="dxa"/>
          </w:tcPr>
          <w:p w14:paraId="67ACD411" w14:textId="77777777" w:rsidR="0032070B" w:rsidRDefault="0032070B">
            <w:pPr>
              <w:pStyle w:val="TableSideHeading"/>
              <w:rPr>
                <w:rtl/>
              </w:rPr>
            </w:pPr>
          </w:p>
        </w:tc>
        <w:tc>
          <w:tcPr>
            <w:tcW w:w="623" w:type="dxa"/>
          </w:tcPr>
          <w:p w14:paraId="6C509133" w14:textId="77777777" w:rsidR="0032070B" w:rsidRDefault="0032070B" w:rsidP="00B22AFF">
            <w:pPr>
              <w:pStyle w:val="TableText"/>
            </w:pPr>
          </w:p>
        </w:tc>
        <w:tc>
          <w:tcPr>
            <w:tcW w:w="624" w:type="dxa"/>
          </w:tcPr>
          <w:p w14:paraId="69DF497C" w14:textId="77777777" w:rsidR="0032070B" w:rsidRDefault="0032070B">
            <w:pPr>
              <w:pStyle w:val="TableText"/>
            </w:pPr>
          </w:p>
        </w:tc>
        <w:tc>
          <w:tcPr>
            <w:tcW w:w="624" w:type="dxa"/>
          </w:tcPr>
          <w:p w14:paraId="361312E8" w14:textId="77777777" w:rsidR="0032070B" w:rsidRDefault="0032070B">
            <w:pPr>
              <w:pStyle w:val="TableText"/>
            </w:pPr>
          </w:p>
        </w:tc>
        <w:tc>
          <w:tcPr>
            <w:tcW w:w="624" w:type="dxa"/>
          </w:tcPr>
          <w:p w14:paraId="14C92799" w14:textId="77777777" w:rsidR="0032070B" w:rsidRDefault="0032070B">
            <w:pPr>
              <w:pStyle w:val="TableText"/>
            </w:pPr>
          </w:p>
        </w:tc>
        <w:tc>
          <w:tcPr>
            <w:tcW w:w="624" w:type="dxa"/>
          </w:tcPr>
          <w:p w14:paraId="0400DFD8" w14:textId="77777777" w:rsidR="0032070B" w:rsidRDefault="0032070B">
            <w:pPr>
              <w:pStyle w:val="TableText"/>
            </w:pPr>
          </w:p>
        </w:tc>
        <w:tc>
          <w:tcPr>
            <w:tcW w:w="4648" w:type="dxa"/>
          </w:tcPr>
          <w:p w14:paraId="53EA0AC9" w14:textId="0105B172" w:rsidR="0032070B" w:rsidRDefault="0032070B">
            <w:pPr>
              <w:pStyle w:val="TableBlock"/>
              <w:rPr>
                <w:rtl/>
              </w:rPr>
            </w:pPr>
            <w:r>
              <w:rPr>
                <w:rFonts w:hint="cs"/>
                <w:rtl/>
              </w:rPr>
              <w:t>(2)</w:t>
            </w:r>
            <w:r>
              <w:rPr>
                <w:rtl/>
              </w:rPr>
              <w:tab/>
            </w:r>
            <w:r>
              <w:rPr>
                <w:rFonts w:hint="cs"/>
                <w:rtl/>
              </w:rPr>
              <w:t>תברר תלונות נוסעים לעניין יישום הוראות חוק זה ותטפל בהן."</w:t>
            </w:r>
          </w:p>
        </w:tc>
      </w:tr>
      <w:tr w:rsidR="00AE2DF5" w:rsidDel="008739E1" w14:paraId="1F686790" w14:textId="77777777" w:rsidTr="006F2B51">
        <w:tblPrEx>
          <w:tblLook w:val="01E0" w:firstRow="1" w:lastRow="1" w:firstColumn="1" w:lastColumn="1" w:noHBand="0" w:noVBand="0"/>
        </w:tblPrEx>
        <w:trPr>
          <w:cantSplit/>
        </w:trPr>
        <w:tc>
          <w:tcPr>
            <w:tcW w:w="1869" w:type="dxa"/>
          </w:tcPr>
          <w:p w14:paraId="05B149DE" w14:textId="09112AA5" w:rsidR="00AE2DF5" w:rsidDel="008739E1" w:rsidRDefault="00977258" w:rsidP="00B22AFF">
            <w:pPr>
              <w:pStyle w:val="TableSideHeading"/>
              <w:keepLines w:val="0"/>
              <w:rPr>
                <w:sz w:val="26"/>
                <w:rtl/>
              </w:rPr>
            </w:pPr>
            <w:r>
              <w:rPr>
                <w:rFonts w:hint="cs"/>
                <w:sz w:val="26"/>
                <w:rtl/>
              </w:rPr>
              <w:t>תיקון סעיף 20</w:t>
            </w:r>
          </w:p>
        </w:tc>
        <w:tc>
          <w:tcPr>
            <w:tcW w:w="623" w:type="dxa"/>
          </w:tcPr>
          <w:p w14:paraId="7D6B83A4" w14:textId="4DD2D33F" w:rsidR="00AE2DF5" w:rsidDel="008739E1" w:rsidRDefault="00AE2DF5" w:rsidP="00B22AFF">
            <w:pPr>
              <w:pStyle w:val="TableText"/>
              <w:rPr>
                <w:rtl/>
              </w:rPr>
            </w:pPr>
            <w:r>
              <w:rPr>
                <w:rFonts w:hint="cs"/>
                <w:rtl/>
              </w:rPr>
              <w:t>6.</w:t>
            </w:r>
          </w:p>
        </w:tc>
        <w:tc>
          <w:tcPr>
            <w:tcW w:w="7144" w:type="dxa"/>
            <w:gridSpan w:val="5"/>
          </w:tcPr>
          <w:p w14:paraId="20A61B0C" w14:textId="7C7B8979" w:rsidR="00AE2DF5" w:rsidDel="008739E1" w:rsidRDefault="00977258" w:rsidP="00B22AFF">
            <w:pPr>
              <w:pStyle w:val="TableBlock"/>
              <w:rPr>
                <w:sz w:val="26"/>
                <w:rtl/>
              </w:rPr>
            </w:pPr>
            <w:r>
              <w:rPr>
                <w:rFonts w:hint="cs"/>
                <w:sz w:val="26"/>
                <w:rtl/>
              </w:rPr>
              <w:t>ב</w:t>
            </w:r>
            <w:r w:rsidR="00CF09BD">
              <w:rPr>
                <w:rFonts w:hint="cs"/>
                <w:sz w:val="26"/>
                <w:rtl/>
              </w:rPr>
              <w:t xml:space="preserve">סעיף </w:t>
            </w:r>
            <w:r>
              <w:rPr>
                <w:rFonts w:hint="cs"/>
                <w:sz w:val="26"/>
                <w:rtl/>
              </w:rPr>
              <w:t>20</w:t>
            </w:r>
            <w:r w:rsidR="00CF09BD">
              <w:rPr>
                <w:rFonts w:hint="cs"/>
                <w:sz w:val="26"/>
                <w:rtl/>
              </w:rPr>
              <w:t xml:space="preserve"> לחוק העיקרי</w:t>
            </w:r>
            <w:r>
              <w:rPr>
                <w:rFonts w:hint="cs"/>
                <w:sz w:val="26"/>
                <w:rtl/>
              </w:rPr>
              <w:t xml:space="preserve"> </w:t>
            </w:r>
            <w:r>
              <w:rPr>
                <w:rFonts w:hint="eastAsia"/>
                <w:sz w:val="26"/>
                <w:rtl/>
              </w:rPr>
              <w:t>–</w:t>
            </w:r>
          </w:p>
        </w:tc>
      </w:tr>
      <w:tr w:rsidR="00977258" w:rsidDel="008739E1" w14:paraId="021CA452" w14:textId="77777777" w:rsidTr="006F2B51">
        <w:tblPrEx>
          <w:tblLook w:val="01E0" w:firstRow="1" w:lastRow="1" w:firstColumn="1" w:lastColumn="1" w:noHBand="0" w:noVBand="0"/>
        </w:tblPrEx>
        <w:trPr>
          <w:cantSplit/>
        </w:trPr>
        <w:tc>
          <w:tcPr>
            <w:tcW w:w="1869" w:type="dxa"/>
          </w:tcPr>
          <w:p w14:paraId="79C449E7" w14:textId="77777777" w:rsidR="00977258" w:rsidRDefault="00977258">
            <w:pPr>
              <w:pStyle w:val="TableSideHeading"/>
              <w:keepLines w:val="0"/>
              <w:rPr>
                <w:sz w:val="26"/>
                <w:rtl/>
              </w:rPr>
            </w:pPr>
          </w:p>
        </w:tc>
        <w:tc>
          <w:tcPr>
            <w:tcW w:w="623" w:type="dxa"/>
          </w:tcPr>
          <w:p w14:paraId="7A542511" w14:textId="77777777" w:rsidR="00977258" w:rsidRDefault="00977258" w:rsidP="00B22AFF">
            <w:pPr>
              <w:pStyle w:val="TableText"/>
              <w:rPr>
                <w:rtl/>
              </w:rPr>
            </w:pPr>
          </w:p>
        </w:tc>
        <w:tc>
          <w:tcPr>
            <w:tcW w:w="7144" w:type="dxa"/>
            <w:gridSpan w:val="5"/>
          </w:tcPr>
          <w:p w14:paraId="091EEAA6" w14:textId="353ED1F6" w:rsidR="00977258" w:rsidRDefault="00977258" w:rsidP="00977258">
            <w:pPr>
              <w:pStyle w:val="TableBlock"/>
              <w:rPr>
                <w:sz w:val="26"/>
                <w:rtl/>
              </w:rPr>
            </w:pPr>
            <w:r>
              <w:rPr>
                <w:rFonts w:hint="cs"/>
                <w:sz w:val="26"/>
                <w:rtl/>
              </w:rPr>
              <w:t>(1)</w:t>
            </w:r>
            <w:r>
              <w:rPr>
                <w:sz w:val="26"/>
                <w:rtl/>
              </w:rPr>
              <w:tab/>
            </w:r>
            <w:r>
              <w:rPr>
                <w:rFonts w:hint="cs"/>
                <w:sz w:val="26"/>
                <w:rtl/>
              </w:rPr>
              <w:t xml:space="preserve">בכותרת השוליים, המילים "סייג לזכאות </w:t>
            </w:r>
            <w:r w:rsidR="006F5E0C">
              <w:rPr>
                <w:rFonts w:hint="cs"/>
                <w:sz w:val="26"/>
                <w:rtl/>
              </w:rPr>
              <w:t xml:space="preserve">בשל" </w:t>
            </w:r>
            <w:r w:rsidR="006F5E0C">
              <w:rPr>
                <w:rFonts w:hint="eastAsia"/>
                <w:sz w:val="26"/>
                <w:rtl/>
              </w:rPr>
              <w:t>– יימחקו;</w:t>
            </w:r>
          </w:p>
        </w:tc>
      </w:tr>
      <w:tr w:rsidR="006F5E0C" w:rsidDel="008739E1" w14:paraId="2B73DF66" w14:textId="77777777" w:rsidTr="006F2B51">
        <w:tblPrEx>
          <w:tblLook w:val="01E0" w:firstRow="1" w:lastRow="1" w:firstColumn="1" w:lastColumn="1" w:noHBand="0" w:noVBand="0"/>
        </w:tblPrEx>
        <w:trPr>
          <w:cantSplit/>
        </w:trPr>
        <w:tc>
          <w:tcPr>
            <w:tcW w:w="1869" w:type="dxa"/>
          </w:tcPr>
          <w:p w14:paraId="0B28E0CA" w14:textId="77777777" w:rsidR="006F5E0C" w:rsidRDefault="006F5E0C">
            <w:pPr>
              <w:pStyle w:val="TableSideHeading"/>
              <w:keepLines w:val="0"/>
              <w:rPr>
                <w:sz w:val="26"/>
                <w:rtl/>
              </w:rPr>
            </w:pPr>
          </w:p>
        </w:tc>
        <w:tc>
          <w:tcPr>
            <w:tcW w:w="623" w:type="dxa"/>
          </w:tcPr>
          <w:p w14:paraId="3A444B4C" w14:textId="77777777" w:rsidR="006F5E0C" w:rsidRDefault="006F5E0C" w:rsidP="00B22AFF">
            <w:pPr>
              <w:pStyle w:val="TableText"/>
              <w:rPr>
                <w:rtl/>
              </w:rPr>
            </w:pPr>
          </w:p>
        </w:tc>
        <w:tc>
          <w:tcPr>
            <w:tcW w:w="7144" w:type="dxa"/>
            <w:gridSpan w:val="5"/>
          </w:tcPr>
          <w:p w14:paraId="69097900" w14:textId="0C9297C6" w:rsidR="006F5E0C" w:rsidRDefault="006F5E0C" w:rsidP="002861BD">
            <w:pPr>
              <w:pStyle w:val="TableBlock"/>
              <w:rPr>
                <w:sz w:val="26"/>
                <w:rtl/>
              </w:rPr>
            </w:pPr>
            <w:r>
              <w:rPr>
                <w:rFonts w:hint="cs"/>
                <w:sz w:val="26"/>
                <w:rtl/>
              </w:rPr>
              <w:t>(2)</w:t>
            </w:r>
            <w:r>
              <w:rPr>
                <w:sz w:val="26"/>
                <w:rtl/>
              </w:rPr>
              <w:tab/>
            </w:r>
            <w:r>
              <w:rPr>
                <w:rFonts w:hint="cs"/>
                <w:sz w:val="26"/>
                <w:rtl/>
              </w:rPr>
              <w:t xml:space="preserve">האמור בו יסומן </w:t>
            </w:r>
            <w:r w:rsidR="002861BD">
              <w:rPr>
                <w:rFonts w:hint="cs"/>
                <w:sz w:val="26"/>
                <w:rtl/>
              </w:rPr>
              <w:t>"</w:t>
            </w:r>
            <w:r>
              <w:rPr>
                <w:rFonts w:hint="cs"/>
                <w:sz w:val="26"/>
                <w:rtl/>
              </w:rPr>
              <w:t>(ב)</w:t>
            </w:r>
            <w:r w:rsidR="002861BD">
              <w:rPr>
                <w:rFonts w:hint="cs"/>
                <w:sz w:val="26"/>
                <w:rtl/>
              </w:rPr>
              <w:t>"</w:t>
            </w:r>
            <w:r>
              <w:rPr>
                <w:rFonts w:hint="cs"/>
                <w:sz w:val="26"/>
                <w:rtl/>
              </w:rPr>
              <w:t>, ולפניו יבוא:</w:t>
            </w:r>
          </w:p>
        </w:tc>
      </w:tr>
      <w:tr w:rsidR="006F5E0C" w14:paraId="3A8C3FC0" w14:textId="77777777" w:rsidTr="006F5E0C">
        <w:tblPrEx>
          <w:tblLook w:val="01E0" w:firstRow="1" w:lastRow="1" w:firstColumn="1" w:lastColumn="1" w:noHBand="0" w:noVBand="0"/>
        </w:tblPrEx>
        <w:trPr>
          <w:cantSplit/>
          <w:trHeight w:val="60"/>
        </w:trPr>
        <w:tc>
          <w:tcPr>
            <w:tcW w:w="1869" w:type="dxa"/>
          </w:tcPr>
          <w:p w14:paraId="35BB1513" w14:textId="77777777" w:rsidR="006F5E0C" w:rsidRDefault="006F5E0C">
            <w:pPr>
              <w:pStyle w:val="TableSideHeading"/>
            </w:pPr>
          </w:p>
        </w:tc>
        <w:tc>
          <w:tcPr>
            <w:tcW w:w="623" w:type="dxa"/>
          </w:tcPr>
          <w:p w14:paraId="65245A2F" w14:textId="77777777" w:rsidR="006F5E0C" w:rsidRDefault="006F5E0C">
            <w:pPr>
              <w:pStyle w:val="TableText"/>
            </w:pPr>
          </w:p>
        </w:tc>
        <w:tc>
          <w:tcPr>
            <w:tcW w:w="624" w:type="dxa"/>
          </w:tcPr>
          <w:p w14:paraId="3EA4A693" w14:textId="77777777" w:rsidR="006F5E0C" w:rsidRDefault="006F5E0C">
            <w:pPr>
              <w:pStyle w:val="TableText"/>
            </w:pPr>
          </w:p>
        </w:tc>
        <w:tc>
          <w:tcPr>
            <w:tcW w:w="6520" w:type="dxa"/>
            <w:gridSpan w:val="4"/>
          </w:tcPr>
          <w:p w14:paraId="4D9725A6" w14:textId="03D588FA" w:rsidR="006F5E0C" w:rsidRDefault="006F5E0C">
            <w:pPr>
              <w:pStyle w:val="TableBlock"/>
            </w:pPr>
            <w:r>
              <w:rPr>
                <w:rFonts w:hint="cs"/>
                <w:rtl/>
              </w:rPr>
              <w:t>"(א)</w:t>
            </w:r>
            <w:r>
              <w:rPr>
                <w:rtl/>
              </w:rPr>
              <w:tab/>
            </w:r>
            <w:r>
              <w:rPr>
                <w:rFonts w:hint="cs"/>
                <w:rtl/>
              </w:rPr>
              <w:t xml:space="preserve">נוסע שמתקיימות לגביו נסיבות המקימות עילה מזכה לפי הוראות חוק זה ועילה לקבלת הטבות לפי דין זר לגבי אותה טיסה, רשאי לבחור אם לקבל הטבה לפי </w:t>
            </w:r>
            <w:r w:rsidR="002861BD">
              <w:rPr>
                <w:rFonts w:hint="cs"/>
                <w:rtl/>
              </w:rPr>
              <w:t>הדין הזר או לפי הוראות חוק זה."</w:t>
            </w:r>
          </w:p>
        </w:tc>
      </w:tr>
      <w:tr w:rsidR="00CA5B4D" w14:paraId="0AFDB8FC" w14:textId="77777777" w:rsidTr="006F5E0C">
        <w:tblPrEx>
          <w:tblLook w:val="01E0" w:firstRow="1" w:lastRow="1" w:firstColumn="1" w:lastColumn="1" w:noHBand="0" w:noVBand="0"/>
        </w:tblPrEx>
        <w:trPr>
          <w:cantSplit/>
        </w:trPr>
        <w:tc>
          <w:tcPr>
            <w:tcW w:w="1869" w:type="dxa"/>
          </w:tcPr>
          <w:p w14:paraId="7A799D51" w14:textId="14A47EAF" w:rsidR="00CA5B4D" w:rsidRDefault="00CA5B4D" w:rsidP="006F5E0C">
            <w:pPr>
              <w:pStyle w:val="TableSideHeading"/>
              <w:keepLines w:val="0"/>
            </w:pPr>
            <w:r>
              <w:rPr>
                <w:rFonts w:hint="cs"/>
                <w:rtl/>
              </w:rPr>
              <w:t xml:space="preserve">תיקון </w:t>
            </w:r>
            <w:r w:rsidR="008739E1">
              <w:rPr>
                <w:rFonts w:hint="cs"/>
                <w:rtl/>
              </w:rPr>
              <w:t>חוק רישוי שירותי התעופה</w:t>
            </w:r>
          </w:p>
        </w:tc>
        <w:tc>
          <w:tcPr>
            <w:tcW w:w="623" w:type="dxa"/>
          </w:tcPr>
          <w:p w14:paraId="26951FD1" w14:textId="6C722EB2" w:rsidR="00CA5B4D" w:rsidRDefault="009200F1" w:rsidP="006F5E0C">
            <w:pPr>
              <w:pStyle w:val="TableText"/>
              <w:keepLines w:val="0"/>
            </w:pPr>
            <w:r>
              <w:rPr>
                <w:rFonts w:hint="cs"/>
                <w:rtl/>
              </w:rPr>
              <w:t>7.</w:t>
            </w:r>
          </w:p>
        </w:tc>
        <w:tc>
          <w:tcPr>
            <w:tcW w:w="7144" w:type="dxa"/>
            <w:gridSpan w:val="5"/>
          </w:tcPr>
          <w:p w14:paraId="41F26446" w14:textId="7BE786F9" w:rsidR="00CA5B4D" w:rsidRPr="00C34DE2" w:rsidRDefault="008739E1" w:rsidP="00B22AFF">
            <w:pPr>
              <w:pStyle w:val="TableBlock"/>
            </w:pPr>
            <w:r>
              <w:rPr>
                <w:rFonts w:hint="cs"/>
                <w:rtl/>
              </w:rPr>
              <w:t>בחוק רישוי שירותי התעופה, התשכ"ג</w:t>
            </w:r>
            <w:r>
              <w:rPr>
                <w:rFonts w:hint="eastAsia"/>
                <w:rtl/>
              </w:rPr>
              <w:t>–1963</w:t>
            </w:r>
            <w:r>
              <w:rPr>
                <w:rStyle w:val="a5"/>
                <w:rtl/>
              </w:rPr>
              <w:footnoteReference w:id="5"/>
            </w:r>
            <w:r>
              <w:rPr>
                <w:rFonts w:hint="cs"/>
                <w:rtl/>
              </w:rPr>
              <w:t>, בסעיף 8ג</w:t>
            </w:r>
            <w:r w:rsidR="006F5E0C">
              <w:rPr>
                <w:rFonts w:hint="cs"/>
                <w:rtl/>
              </w:rPr>
              <w:t>(א1)</w:t>
            </w:r>
            <w:r w:rsidR="00B22AFF">
              <w:rPr>
                <w:rFonts w:hint="cs"/>
                <w:rtl/>
              </w:rPr>
              <w:t>(2)</w:t>
            </w:r>
            <w:r w:rsidR="002861BD">
              <w:rPr>
                <w:rFonts w:hint="cs"/>
                <w:rtl/>
              </w:rPr>
              <w:t xml:space="preserve">, </w:t>
            </w:r>
            <w:r w:rsidR="006F5E0C">
              <w:rPr>
                <w:rFonts w:hint="cs"/>
                <w:rtl/>
              </w:rPr>
              <w:t>במקום</w:t>
            </w:r>
            <w:r w:rsidR="00B22AFF">
              <w:rPr>
                <w:rFonts w:hint="cs"/>
                <w:rtl/>
              </w:rPr>
              <w:t xml:space="preserve"> הסיפה החל במילה</w:t>
            </w:r>
            <w:r w:rsidR="006F5E0C">
              <w:rPr>
                <w:rFonts w:hint="cs"/>
                <w:rtl/>
              </w:rPr>
              <w:t xml:space="preserve"> </w:t>
            </w:r>
            <w:r w:rsidR="00B22AFF">
              <w:rPr>
                <w:rFonts w:hint="cs"/>
                <w:rtl/>
              </w:rPr>
              <w:t>"ובלבד" יבוא "לרבות טיסה הכוללת חניית ביניים בקטע הטיסה המחבר בין יעד הביניים לבין ישראל, ובלבד שהונפק לנוסע כרטיס טיסה הלוך ושוב לטיסה מישראל".</w:t>
            </w:r>
          </w:p>
        </w:tc>
      </w:tr>
    </w:tbl>
    <w:p w14:paraId="78FEA0AA" w14:textId="42967437" w:rsidR="00CA5B4D" w:rsidRDefault="00CA5B4D" w:rsidP="002D1EE3">
      <w:pPr>
        <w:pStyle w:val="HeadDivreiHesber"/>
        <w:rPr>
          <w:rtl/>
        </w:rPr>
      </w:pPr>
    </w:p>
    <w:p w14:paraId="7F6961CA" w14:textId="77777777" w:rsidR="002D1EE3" w:rsidRPr="00B8268F" w:rsidRDefault="002D1EE3" w:rsidP="002861BD">
      <w:pPr>
        <w:pStyle w:val="HeadDivreiHesber"/>
        <w:rPr>
          <w:rtl/>
        </w:rPr>
      </w:pPr>
      <w:r w:rsidRPr="00B8268F">
        <w:rPr>
          <w:rFonts w:hint="cs"/>
          <w:rtl/>
        </w:rPr>
        <w:lastRenderedPageBreak/>
        <w:t>דברי הסבר</w:t>
      </w:r>
    </w:p>
    <w:p w14:paraId="4CE9B686" w14:textId="77777777" w:rsidR="00250722" w:rsidRPr="00B8268F" w:rsidRDefault="00250722" w:rsidP="00B8268F">
      <w:pPr>
        <w:rPr>
          <w:rFonts w:cs="David"/>
          <w:sz w:val="28"/>
          <w:szCs w:val="28"/>
          <w:rtl/>
        </w:rPr>
      </w:pPr>
    </w:p>
    <w:p w14:paraId="31D109EE" w14:textId="7BC2B0E0" w:rsidR="00653608" w:rsidRDefault="00653608" w:rsidP="00B22AFF">
      <w:pPr>
        <w:pStyle w:val="Hesber"/>
        <w:rPr>
          <w:rtl/>
        </w:rPr>
      </w:pPr>
      <w:r w:rsidRPr="00B22AFF">
        <w:rPr>
          <w:rtl/>
        </w:rPr>
        <w:t xml:space="preserve">הצעת חוק זו </w:t>
      </w:r>
      <w:r w:rsidR="00C8384C">
        <w:rPr>
          <w:rFonts w:hint="cs"/>
          <w:rtl/>
        </w:rPr>
        <w:t>נועדה</w:t>
      </w:r>
      <w:r w:rsidRPr="00B22AFF">
        <w:rPr>
          <w:rtl/>
        </w:rPr>
        <w:t xml:space="preserve"> לתקן</w:t>
      </w:r>
      <w:r w:rsidR="004C4519" w:rsidRPr="00B22AFF">
        <w:rPr>
          <w:rtl/>
        </w:rPr>
        <w:t xml:space="preserve"> את</w:t>
      </w:r>
      <w:r w:rsidRPr="00B22AFF">
        <w:rPr>
          <w:rtl/>
        </w:rPr>
        <w:t xml:space="preserve"> חוק </w:t>
      </w:r>
      <w:r w:rsidR="00D767F3">
        <w:rPr>
          <w:rFonts w:hint="cs"/>
          <w:rtl/>
        </w:rPr>
        <w:t>שירותי תעופה (פיצוי וסיוע בשל ביטול או שינוי בתנאיה), התשע"ב</w:t>
      </w:r>
      <w:r w:rsidR="00D767F3">
        <w:rPr>
          <w:rFonts w:hint="eastAsia"/>
          <w:rtl/>
        </w:rPr>
        <w:t>–2012</w:t>
      </w:r>
      <w:r w:rsidR="00D767F3">
        <w:rPr>
          <w:rFonts w:hint="cs"/>
          <w:rtl/>
        </w:rPr>
        <w:t xml:space="preserve"> (להלן </w:t>
      </w:r>
      <w:r w:rsidR="00D767F3">
        <w:rPr>
          <w:rFonts w:hint="eastAsia"/>
          <w:rtl/>
        </w:rPr>
        <w:t>– החוק</w:t>
      </w:r>
      <w:r w:rsidR="00D767F3">
        <w:rPr>
          <w:rFonts w:hint="cs"/>
          <w:rtl/>
        </w:rPr>
        <w:t>)</w:t>
      </w:r>
      <w:r w:rsidR="00D767F3">
        <w:rPr>
          <w:rFonts w:hint="eastAsia"/>
          <w:rtl/>
        </w:rPr>
        <w:t xml:space="preserve">, אשר </w:t>
      </w:r>
      <w:r w:rsidR="00D767F3">
        <w:rPr>
          <w:rFonts w:hint="cs"/>
          <w:rtl/>
        </w:rPr>
        <w:t>אחד מ</w:t>
      </w:r>
      <w:r w:rsidR="00D767F3">
        <w:rPr>
          <w:rFonts w:hint="eastAsia"/>
          <w:rtl/>
        </w:rPr>
        <w:t xml:space="preserve">מציעי הצעת חוק זו </w:t>
      </w:r>
      <w:r w:rsidRPr="00B22AFF">
        <w:rPr>
          <w:rtl/>
        </w:rPr>
        <w:t>יז</w:t>
      </w:r>
      <w:r w:rsidR="00D767F3">
        <w:rPr>
          <w:rFonts w:hint="cs"/>
          <w:rtl/>
        </w:rPr>
        <w:t>ם, ועניינו</w:t>
      </w:r>
      <w:r w:rsidRPr="00B22AFF">
        <w:rPr>
          <w:rtl/>
        </w:rPr>
        <w:t xml:space="preserve"> פיצוי ב</w:t>
      </w:r>
      <w:r w:rsidR="003B600A">
        <w:rPr>
          <w:rFonts w:hint="cs"/>
          <w:rtl/>
        </w:rPr>
        <w:t>של</w:t>
      </w:r>
      <w:r w:rsidRPr="00B22AFF">
        <w:rPr>
          <w:rtl/>
        </w:rPr>
        <w:t xml:space="preserve"> ביטול או עיכוב טיסה</w:t>
      </w:r>
      <w:r w:rsidR="00D767F3">
        <w:rPr>
          <w:rFonts w:hint="cs"/>
          <w:rtl/>
        </w:rPr>
        <w:t xml:space="preserve">. </w:t>
      </w:r>
      <w:r w:rsidRPr="00B22AFF">
        <w:rPr>
          <w:rtl/>
        </w:rPr>
        <w:t>בחינת המקרים</w:t>
      </w:r>
      <w:r w:rsidR="004C4519" w:rsidRPr="00B22AFF">
        <w:rPr>
          <w:rtl/>
        </w:rPr>
        <w:t xml:space="preserve"> והנסיבות בהם הוגשו</w:t>
      </w:r>
      <w:r w:rsidRPr="00B22AFF">
        <w:rPr>
          <w:rtl/>
        </w:rPr>
        <w:t xml:space="preserve"> תביעות לבית המשפט</w:t>
      </w:r>
      <w:r w:rsidR="00D767F3">
        <w:rPr>
          <w:rFonts w:hint="cs"/>
          <w:rtl/>
        </w:rPr>
        <w:t>, העלתה</w:t>
      </w:r>
      <w:r w:rsidRPr="00B22AFF">
        <w:rPr>
          <w:rtl/>
        </w:rPr>
        <w:t xml:space="preserve"> </w:t>
      </w:r>
      <w:r w:rsidR="00D767F3">
        <w:rPr>
          <w:rFonts w:hint="cs"/>
          <w:rtl/>
        </w:rPr>
        <w:t>ש</w:t>
      </w:r>
      <w:r w:rsidRPr="00B22AFF">
        <w:rPr>
          <w:rtl/>
        </w:rPr>
        <w:t xml:space="preserve">נדרשים מספר תיקונים על </w:t>
      </w:r>
      <w:r w:rsidR="00250722" w:rsidRPr="00B22AFF">
        <w:rPr>
          <w:rtl/>
        </w:rPr>
        <w:t>מנת</w:t>
      </w:r>
      <w:r w:rsidRPr="00B22AFF">
        <w:rPr>
          <w:rtl/>
        </w:rPr>
        <w:t xml:space="preserve"> לשפר ולייעל את החוק</w:t>
      </w:r>
      <w:r w:rsidR="00D767F3">
        <w:rPr>
          <w:rFonts w:hint="cs"/>
          <w:rtl/>
        </w:rPr>
        <w:t>, כך שישיג את מטרותיו</w:t>
      </w:r>
      <w:r w:rsidRPr="00B22AFF">
        <w:rPr>
          <w:rtl/>
        </w:rPr>
        <w:t>.</w:t>
      </w:r>
    </w:p>
    <w:p w14:paraId="200E3771" w14:textId="6D444183" w:rsidR="00E8288B" w:rsidRPr="00B22AFF" w:rsidRDefault="00E8288B" w:rsidP="00B22AFF">
      <w:pPr>
        <w:pStyle w:val="Hesber"/>
      </w:pPr>
      <w:r>
        <w:rPr>
          <w:rtl/>
        </w:rPr>
        <w:t>ראשית</w:t>
      </w:r>
      <w:r>
        <w:rPr>
          <w:rFonts w:hint="cs"/>
          <w:rtl/>
        </w:rPr>
        <w:t>, קיימת</w:t>
      </w:r>
      <w:r>
        <w:rPr>
          <w:rtl/>
        </w:rPr>
        <w:t xml:space="preserve"> חשיבות</w:t>
      </w:r>
      <w:r>
        <w:rPr>
          <w:rFonts w:hint="cs"/>
          <w:rtl/>
        </w:rPr>
        <w:t xml:space="preserve"> לכך שיימסר</w:t>
      </w:r>
      <w:r>
        <w:rPr>
          <w:rtl/>
        </w:rPr>
        <w:t xml:space="preserve"> כרט</w:t>
      </w:r>
      <w:r w:rsidR="00C8384C">
        <w:rPr>
          <w:rtl/>
        </w:rPr>
        <w:t xml:space="preserve">יס טיסה לנוסע אשר שילם את </w:t>
      </w:r>
      <w:r w:rsidR="00C8384C">
        <w:rPr>
          <w:rFonts w:hint="cs"/>
          <w:rtl/>
        </w:rPr>
        <w:t>התמורה בעדו, מאחר</w:t>
      </w:r>
      <w:r>
        <w:rPr>
          <w:rtl/>
        </w:rPr>
        <w:t xml:space="preserve"> </w:t>
      </w:r>
      <w:r>
        <w:rPr>
          <w:rFonts w:hint="cs"/>
          <w:rtl/>
        </w:rPr>
        <w:t>ש</w:t>
      </w:r>
      <w:r w:rsidR="00C8384C">
        <w:rPr>
          <w:rFonts w:hint="cs"/>
          <w:rtl/>
        </w:rPr>
        <w:t>ה</w:t>
      </w:r>
      <w:r w:rsidR="00C8384C">
        <w:rPr>
          <w:rtl/>
        </w:rPr>
        <w:t xml:space="preserve">חוזה </w:t>
      </w:r>
      <w:r w:rsidR="00C8384C">
        <w:rPr>
          <w:rFonts w:hint="cs"/>
          <w:rtl/>
        </w:rPr>
        <w:t>בין המפעיל לנוסע</w:t>
      </w:r>
      <w:r>
        <w:rPr>
          <w:rtl/>
        </w:rPr>
        <w:t xml:space="preserve"> נכרת אך ורק עם הנפקת כרטיס </w:t>
      </w:r>
      <w:r>
        <w:rPr>
          <w:rFonts w:hint="cs"/>
          <w:rtl/>
        </w:rPr>
        <w:t>ה</w:t>
      </w:r>
      <w:r>
        <w:rPr>
          <w:rtl/>
        </w:rPr>
        <w:t>טיסה</w:t>
      </w:r>
      <w:r w:rsidR="00C8384C">
        <w:rPr>
          <w:rFonts w:hint="cs"/>
          <w:rtl/>
        </w:rPr>
        <w:t>,</w:t>
      </w:r>
      <w:r>
        <w:rPr>
          <w:rtl/>
        </w:rPr>
        <w:t xml:space="preserve"> וקיים חשש שמא נוסע אשר שילם את התמורה </w:t>
      </w:r>
      <w:r w:rsidR="00C8384C">
        <w:rPr>
          <w:rFonts w:hint="cs"/>
          <w:rtl/>
        </w:rPr>
        <w:t>בעד</w:t>
      </w:r>
      <w:r>
        <w:rPr>
          <w:rtl/>
        </w:rPr>
        <w:t xml:space="preserve"> כרטיס טיסה אך הכרטיס לא נ</w:t>
      </w:r>
      <w:r>
        <w:rPr>
          <w:rFonts w:hint="cs"/>
          <w:rtl/>
        </w:rPr>
        <w:t>מסר</w:t>
      </w:r>
      <w:r>
        <w:rPr>
          <w:rtl/>
        </w:rPr>
        <w:t xml:space="preserve"> לו, לא יוכל לתבוע את זכויותיו</w:t>
      </w:r>
      <w:r w:rsidR="00C8384C">
        <w:rPr>
          <w:rFonts w:hint="cs"/>
          <w:rtl/>
        </w:rPr>
        <w:t xml:space="preserve"> לפי החוק</w:t>
      </w:r>
      <w:r>
        <w:rPr>
          <w:rtl/>
        </w:rPr>
        <w:t>.</w:t>
      </w:r>
      <w:r>
        <w:rPr>
          <w:rFonts w:hint="cs"/>
          <w:rtl/>
        </w:rPr>
        <w:t xml:space="preserve"> לכן, מוצע לקבוע </w:t>
      </w:r>
      <w:r w:rsidR="00C8384C">
        <w:rPr>
          <w:rFonts w:hint="cs"/>
          <w:rtl/>
        </w:rPr>
        <w:t>כי מפעיל טיסה או מארגן ינפיק לנוסע כרטיס טיסה וימסור לו את הכרטיס</w:t>
      </w:r>
      <w:r>
        <w:rPr>
          <w:rFonts w:hint="cs"/>
          <w:rtl/>
        </w:rPr>
        <w:t xml:space="preserve"> בתוך 24 שעות ממועד תשלום התמורה על ידי הנוסע.</w:t>
      </w:r>
      <w:r w:rsidR="00C8384C">
        <w:rPr>
          <w:rtl/>
        </w:rPr>
        <w:t xml:space="preserve"> יצוין כי </w:t>
      </w:r>
      <w:r w:rsidR="00C8384C">
        <w:rPr>
          <w:rFonts w:hint="cs"/>
          <w:rtl/>
        </w:rPr>
        <w:t>ה</w:t>
      </w:r>
      <w:r>
        <w:rPr>
          <w:rtl/>
        </w:rPr>
        <w:t xml:space="preserve">יום מרבית חברות התעופה דורשות תשלום </w:t>
      </w:r>
      <w:r>
        <w:rPr>
          <w:rFonts w:hint="cs"/>
          <w:rtl/>
        </w:rPr>
        <w:t>באופן מיידי</w:t>
      </w:r>
      <w:r>
        <w:rPr>
          <w:rtl/>
        </w:rPr>
        <w:t xml:space="preserve"> לאחר ביצוע ההזמנה</w:t>
      </w:r>
      <w:r>
        <w:rPr>
          <w:rFonts w:hint="cs"/>
          <w:rtl/>
        </w:rPr>
        <w:t>,</w:t>
      </w:r>
      <w:r>
        <w:rPr>
          <w:rtl/>
        </w:rPr>
        <w:t xml:space="preserve"> כך שקיים הגיון ב</w:t>
      </w:r>
      <w:r>
        <w:rPr>
          <w:rFonts w:hint="cs"/>
          <w:rtl/>
        </w:rPr>
        <w:t>מסירת</w:t>
      </w:r>
      <w:r w:rsidR="00C8384C">
        <w:rPr>
          <w:rtl/>
        </w:rPr>
        <w:t xml:space="preserve"> כרטיס הטיסה </w:t>
      </w:r>
      <w:r>
        <w:rPr>
          <w:rFonts w:hint="cs"/>
          <w:rtl/>
        </w:rPr>
        <w:t>באופן מיידי</w:t>
      </w:r>
      <w:r w:rsidR="00C8384C">
        <w:rPr>
          <w:rtl/>
        </w:rPr>
        <w:t xml:space="preserve"> לאחר ביצוע התשלום. זו</w:t>
      </w:r>
      <w:r>
        <w:rPr>
          <w:rtl/>
        </w:rPr>
        <w:t xml:space="preserve"> הדרך היחידה להבטחת זכויותיו של כל נוסע ונוסע</w:t>
      </w:r>
      <w:r w:rsidR="00C8384C">
        <w:rPr>
          <w:rFonts w:hint="cs"/>
          <w:rtl/>
        </w:rPr>
        <w:t xml:space="preserve"> לפי החוק</w:t>
      </w:r>
      <w:r>
        <w:rPr>
          <w:rtl/>
        </w:rPr>
        <w:t>.</w:t>
      </w:r>
    </w:p>
    <w:p w14:paraId="5277F5CC" w14:textId="2E7A6149" w:rsidR="00653608" w:rsidRPr="00B22AFF" w:rsidRDefault="003477C8" w:rsidP="00B22AFF">
      <w:pPr>
        <w:pStyle w:val="Hesber"/>
        <w:rPr>
          <w:rtl/>
        </w:rPr>
      </w:pPr>
      <w:r>
        <w:rPr>
          <w:rFonts w:hint="cs"/>
          <w:rtl/>
        </w:rPr>
        <w:t xml:space="preserve">בנוסף, </w:t>
      </w:r>
      <w:r w:rsidR="00653608" w:rsidRPr="00B22AFF">
        <w:rPr>
          <w:rtl/>
        </w:rPr>
        <w:t xml:space="preserve">עם קרות </w:t>
      </w:r>
      <w:r w:rsidR="00C8384C">
        <w:rPr>
          <w:rFonts w:hint="cs"/>
          <w:rtl/>
        </w:rPr>
        <w:t>אירוע</w:t>
      </w:r>
      <w:r w:rsidR="00653608" w:rsidRPr="00B22AFF">
        <w:rPr>
          <w:rtl/>
        </w:rPr>
        <w:t xml:space="preserve"> </w:t>
      </w:r>
      <w:r w:rsidR="00C8384C">
        <w:rPr>
          <w:rFonts w:hint="cs"/>
          <w:rtl/>
        </w:rPr>
        <w:t>המקים</w:t>
      </w:r>
      <w:r w:rsidR="00653608" w:rsidRPr="00B22AFF">
        <w:rPr>
          <w:rtl/>
        </w:rPr>
        <w:t xml:space="preserve"> לנוסע עילה מזכה, רוב חברות התעופה אינן מעדכנות את הנוסע בדבר זכויותיו, דבר אשר עומד בסתירה מוחלטת לרוח החוק אשר באה להגן על זכויות ה</w:t>
      </w:r>
      <w:r w:rsidR="00D767F3">
        <w:rPr>
          <w:rFonts w:hint="cs"/>
          <w:rtl/>
        </w:rPr>
        <w:t>נוסע</w:t>
      </w:r>
      <w:r w:rsidR="00653608" w:rsidRPr="00B22AFF">
        <w:rPr>
          <w:rtl/>
        </w:rPr>
        <w:t>. </w:t>
      </w:r>
    </w:p>
    <w:p w14:paraId="5B32DCE7" w14:textId="0464CFE9" w:rsidR="00653608" w:rsidRPr="00551A1F" w:rsidRDefault="00653608" w:rsidP="00B22AFF">
      <w:pPr>
        <w:pStyle w:val="Hesber"/>
        <w:rPr>
          <w:rtl/>
        </w:rPr>
      </w:pPr>
      <w:r w:rsidRPr="00B22AFF">
        <w:rPr>
          <w:rtl/>
        </w:rPr>
        <w:t xml:space="preserve">כוונת המחוקק הייתה לדאוג לכך שהנוסע יקבל את כל המידע הדרוש לשם בחינת זכויותיו. </w:t>
      </w:r>
      <w:r w:rsidR="00C8384C">
        <w:rPr>
          <w:rFonts w:hint="cs"/>
          <w:rtl/>
        </w:rPr>
        <w:t>ואולם</w:t>
      </w:r>
      <w:r w:rsidRPr="00B22AFF">
        <w:rPr>
          <w:rtl/>
        </w:rPr>
        <w:t>, בהעדר שיתוף פעולה מצד חברות התעופה קיימת חשיבות לחייב אותן</w:t>
      </w:r>
      <w:r w:rsidR="00C8384C">
        <w:rPr>
          <w:rFonts w:hint="cs"/>
          <w:rtl/>
        </w:rPr>
        <w:t xml:space="preserve"> באופן פוזיטיבי</w:t>
      </w:r>
      <w:r w:rsidRPr="00551A1F">
        <w:rPr>
          <w:rtl/>
        </w:rPr>
        <w:t xml:space="preserve"> למסור לנוסע מידע אודות </w:t>
      </w:r>
      <w:r w:rsidR="00C8384C">
        <w:rPr>
          <w:rFonts w:hint="cs"/>
          <w:rtl/>
        </w:rPr>
        <w:t>זכויותיו</w:t>
      </w:r>
      <w:r w:rsidR="00D767F3">
        <w:rPr>
          <w:rFonts w:hint="cs"/>
          <w:rtl/>
        </w:rPr>
        <w:t xml:space="preserve">, בעת </w:t>
      </w:r>
      <w:r w:rsidR="00B6104F">
        <w:rPr>
          <w:rFonts w:hint="cs"/>
          <w:rtl/>
        </w:rPr>
        <w:t>שמתקיימת עילה מזכה</w:t>
      </w:r>
      <w:r w:rsidRPr="00551A1F">
        <w:rPr>
          <w:rtl/>
        </w:rPr>
        <w:t>.</w:t>
      </w:r>
    </w:p>
    <w:p w14:paraId="3D457E05" w14:textId="6280F946" w:rsidR="000F4F12" w:rsidRPr="00551A1F" w:rsidRDefault="003477C8" w:rsidP="00B22AFF">
      <w:pPr>
        <w:pStyle w:val="Hesber"/>
        <w:ind w:firstLine="0"/>
        <w:rPr>
          <w:rtl/>
        </w:rPr>
      </w:pPr>
      <w:r>
        <w:rPr>
          <w:rFonts w:hint="cs"/>
          <w:rtl/>
        </w:rPr>
        <w:t>כמו כן</w:t>
      </w:r>
      <w:r w:rsidR="00653608" w:rsidRPr="00551A1F">
        <w:rPr>
          <w:rtl/>
        </w:rPr>
        <w:t>, כידוע</w:t>
      </w:r>
      <w:r w:rsidR="00B6104F">
        <w:rPr>
          <w:rFonts w:hint="cs"/>
          <w:rtl/>
        </w:rPr>
        <w:t>,</w:t>
      </w:r>
      <w:r w:rsidR="00653608" w:rsidRPr="00551A1F">
        <w:rPr>
          <w:rtl/>
        </w:rPr>
        <w:t xml:space="preserve"> החוק מבוסס על הוראות ה</w:t>
      </w:r>
      <w:r w:rsidR="00C8384C">
        <w:rPr>
          <w:rFonts w:hint="cs"/>
          <w:rtl/>
        </w:rPr>
        <w:t>תקנה</w:t>
      </w:r>
      <w:r w:rsidR="00653608" w:rsidRPr="00551A1F">
        <w:rPr>
          <w:rtl/>
        </w:rPr>
        <w:t xml:space="preserve"> האירופי</w:t>
      </w:r>
      <w:r w:rsidR="001100AA">
        <w:rPr>
          <w:rFonts w:hint="cs"/>
          <w:rtl/>
        </w:rPr>
        <w:t>ת</w:t>
      </w:r>
      <w:r w:rsidR="00653608" w:rsidRPr="00551A1F">
        <w:rPr>
          <w:rtl/>
        </w:rPr>
        <w:t xml:space="preserve"> 261/2004. יתרה מזאת, מדינת ישראל חתמה עם האיחוד האירופי על הסכם אירופי</w:t>
      </w:r>
      <w:r w:rsidR="00C8384C">
        <w:rPr>
          <w:rFonts w:hint="cs"/>
          <w:rtl/>
        </w:rPr>
        <w:t>-</w:t>
      </w:r>
      <w:r w:rsidR="00653608" w:rsidRPr="00551A1F">
        <w:rPr>
          <w:rtl/>
        </w:rPr>
        <w:t>ים תיכוני בין ממשלת ישראל לבין האיחוד האירופי והמדינות החברות בו</w:t>
      </w:r>
      <w:r w:rsidR="00C8384C">
        <w:rPr>
          <w:rFonts w:hint="cs"/>
          <w:rtl/>
        </w:rPr>
        <w:t>,</w:t>
      </w:r>
      <w:r w:rsidR="00653608" w:rsidRPr="00551A1F">
        <w:rPr>
          <w:rtl/>
        </w:rPr>
        <w:t> </w:t>
      </w:r>
      <w:r w:rsidR="00C8384C">
        <w:rPr>
          <w:rFonts w:hint="cs"/>
          <w:rtl/>
        </w:rPr>
        <w:t>ש</w:t>
      </w:r>
      <w:r w:rsidR="00653608" w:rsidRPr="00551A1F">
        <w:rPr>
          <w:rtl/>
        </w:rPr>
        <w:t>במסגרתו מדינת ישראל מתייחסת ל</w:t>
      </w:r>
      <w:r w:rsidR="00C8384C">
        <w:rPr>
          <w:rFonts w:hint="cs"/>
          <w:rtl/>
        </w:rPr>
        <w:t>תקנה</w:t>
      </w:r>
      <w:r w:rsidR="004101FF">
        <w:rPr>
          <w:rFonts w:hint="cs"/>
          <w:rtl/>
        </w:rPr>
        <w:t xml:space="preserve"> האירופי</w:t>
      </w:r>
      <w:r w:rsidR="00C8384C">
        <w:rPr>
          <w:rFonts w:hint="cs"/>
          <w:rtl/>
        </w:rPr>
        <w:t>ת</w:t>
      </w:r>
      <w:r w:rsidR="00653608" w:rsidRPr="00551A1F">
        <w:rPr>
          <w:rtl/>
        </w:rPr>
        <w:t xml:space="preserve"> כ</w:t>
      </w:r>
      <w:r w:rsidR="00C8384C">
        <w:rPr>
          <w:rFonts w:hint="cs"/>
          <w:rtl/>
        </w:rPr>
        <w:t>נורמה</w:t>
      </w:r>
      <w:r w:rsidR="00653608" w:rsidRPr="00551A1F">
        <w:rPr>
          <w:rtl/>
        </w:rPr>
        <w:t xml:space="preserve"> משפטי</w:t>
      </w:r>
      <w:r w:rsidR="00C8384C">
        <w:rPr>
          <w:rFonts w:hint="cs"/>
          <w:rtl/>
        </w:rPr>
        <w:t>ת</w:t>
      </w:r>
      <w:r w:rsidR="00653608" w:rsidRPr="00551A1F">
        <w:rPr>
          <w:rtl/>
        </w:rPr>
        <w:t xml:space="preserve"> מחייב</w:t>
      </w:r>
      <w:r w:rsidR="00C8384C">
        <w:rPr>
          <w:rFonts w:hint="cs"/>
          <w:rtl/>
        </w:rPr>
        <w:t>ת</w:t>
      </w:r>
      <w:r w:rsidR="00653608" w:rsidRPr="00551A1F">
        <w:rPr>
          <w:rtl/>
        </w:rPr>
        <w:t>.</w:t>
      </w:r>
    </w:p>
    <w:p w14:paraId="1E5EE2DC" w14:textId="69CB97A5" w:rsidR="00E10B57" w:rsidRPr="00551A1F" w:rsidRDefault="00653608" w:rsidP="00B22AFF">
      <w:pPr>
        <w:pStyle w:val="Hesber"/>
        <w:rPr>
          <w:rtl/>
        </w:rPr>
      </w:pPr>
      <w:r w:rsidRPr="00551A1F">
        <w:rPr>
          <w:rtl/>
        </w:rPr>
        <w:t>הוראות ה</w:t>
      </w:r>
      <w:r w:rsidR="00C8384C">
        <w:rPr>
          <w:rFonts w:hint="cs"/>
          <w:rtl/>
        </w:rPr>
        <w:t>תקנה</w:t>
      </w:r>
      <w:r w:rsidRPr="00551A1F">
        <w:rPr>
          <w:rtl/>
        </w:rPr>
        <w:t xml:space="preserve"> וישומן שונים מהוראות החוק במספר סוגיות: (1) גובה פיצוי, (2) תקופת התיישנות, (3) במקרה של עיכוב טיסה</w:t>
      </w:r>
      <w:r w:rsidR="00B6104F">
        <w:rPr>
          <w:rFonts w:hint="cs"/>
          <w:rtl/>
        </w:rPr>
        <w:t>,</w:t>
      </w:r>
      <w:r w:rsidR="001100AA">
        <w:rPr>
          <w:rFonts w:hint="cs"/>
          <w:rtl/>
        </w:rPr>
        <w:t xml:space="preserve"> לפי ה</w:t>
      </w:r>
      <w:r w:rsidR="00C8384C">
        <w:rPr>
          <w:rFonts w:hint="cs"/>
          <w:rtl/>
        </w:rPr>
        <w:t>תקנה</w:t>
      </w:r>
      <w:r w:rsidR="00B6104F">
        <w:rPr>
          <w:rFonts w:hint="cs"/>
          <w:rtl/>
        </w:rPr>
        <w:t>,</w:t>
      </w:r>
      <w:r w:rsidR="003477C8">
        <w:rPr>
          <w:rFonts w:hint="cs"/>
          <w:rtl/>
        </w:rPr>
        <w:t xml:space="preserve"> כפי שפורש</w:t>
      </w:r>
      <w:r w:rsidR="00C8384C">
        <w:rPr>
          <w:rFonts w:hint="cs"/>
          <w:rtl/>
        </w:rPr>
        <w:t>ה</w:t>
      </w:r>
      <w:r w:rsidR="004101FF">
        <w:rPr>
          <w:rFonts w:hint="cs"/>
          <w:rtl/>
        </w:rPr>
        <w:t xml:space="preserve"> על ידי בית הדין האירופי לצדק,</w:t>
      </w:r>
      <w:r w:rsidRPr="00551A1F">
        <w:rPr>
          <w:rtl/>
        </w:rPr>
        <w:t xml:space="preserve"> זמן העיכוב המזכה את הנוסע בפיצוי הוא </w:t>
      </w:r>
      <w:r w:rsidR="004101FF">
        <w:rPr>
          <w:rFonts w:hint="cs"/>
          <w:rtl/>
        </w:rPr>
        <w:t xml:space="preserve">שלוש </w:t>
      </w:r>
      <w:r w:rsidRPr="004101FF">
        <w:rPr>
          <w:rtl/>
        </w:rPr>
        <w:t>שעות איחור במקום ההגעה</w:t>
      </w:r>
      <w:r w:rsidR="00B6104F">
        <w:rPr>
          <w:rFonts w:hint="cs"/>
          <w:rtl/>
        </w:rPr>
        <w:t xml:space="preserve">, בעוד שלפי החוק זמן העיכוב המזכה את הנוסע בפיצוי הוא </w:t>
      </w:r>
      <w:r w:rsidR="004101FF">
        <w:rPr>
          <w:rFonts w:hint="cs"/>
          <w:rtl/>
        </w:rPr>
        <w:t>שמונה</w:t>
      </w:r>
      <w:r w:rsidR="00B6104F">
        <w:rPr>
          <w:rFonts w:hint="cs"/>
          <w:rtl/>
        </w:rPr>
        <w:t xml:space="preserve"> שעות ממועד ההמראה.</w:t>
      </w:r>
    </w:p>
    <w:p w14:paraId="07C8D0A8" w14:textId="25EB839B" w:rsidR="00250722" w:rsidRPr="00551A1F" w:rsidRDefault="001E3231" w:rsidP="00B22AFF">
      <w:pPr>
        <w:pStyle w:val="Hesber"/>
        <w:rPr>
          <w:rtl/>
        </w:rPr>
      </w:pPr>
      <w:r>
        <w:rPr>
          <w:rFonts w:hint="cs"/>
          <w:rtl/>
        </w:rPr>
        <w:t xml:space="preserve">בנושא קבלת הטבות לפי דין זר, סעיף 20 לחוק קובע כי נוסע שקיבל הטבה לפי דין זר בשל נסיבות המקימות עילה מזכה, לא יהיה זכאי להטבות לפי חוק זה מאותו סוג שקיבל כאמור. </w:t>
      </w:r>
      <w:r w:rsidR="00E10B57" w:rsidRPr="00551A1F">
        <w:rPr>
          <w:rtl/>
        </w:rPr>
        <w:t xml:space="preserve">לאחרונה, </w:t>
      </w:r>
      <w:r w:rsidR="00653608" w:rsidRPr="00551A1F">
        <w:rPr>
          <w:rtl/>
        </w:rPr>
        <w:t>הגיעו תלונות</w:t>
      </w:r>
      <w:r w:rsidR="00E10B57" w:rsidRPr="00551A1F">
        <w:rPr>
          <w:rtl/>
        </w:rPr>
        <w:t xml:space="preserve"> רבות</w:t>
      </w:r>
      <w:r w:rsidR="00653608" w:rsidRPr="00551A1F">
        <w:rPr>
          <w:rtl/>
        </w:rPr>
        <w:t xml:space="preserve"> מנוסעים</w:t>
      </w:r>
      <w:r>
        <w:rPr>
          <w:rFonts w:hint="cs"/>
          <w:rtl/>
        </w:rPr>
        <w:t>,</w:t>
      </w:r>
      <w:r w:rsidR="00653608" w:rsidRPr="00551A1F">
        <w:rPr>
          <w:rtl/>
        </w:rPr>
        <w:t xml:space="preserve"> </w:t>
      </w:r>
      <w:r>
        <w:rPr>
          <w:rFonts w:hint="cs"/>
          <w:rtl/>
        </w:rPr>
        <w:t>ש</w:t>
      </w:r>
      <w:r w:rsidR="00653608" w:rsidRPr="00551A1F">
        <w:rPr>
          <w:rtl/>
        </w:rPr>
        <w:t xml:space="preserve">לפיהן חברות תעופה ישראליות מפרשות את הסעיף </w:t>
      </w:r>
      <w:r>
        <w:rPr>
          <w:rFonts w:hint="cs"/>
          <w:rtl/>
        </w:rPr>
        <w:t>בחוק</w:t>
      </w:r>
      <w:r w:rsidR="00653608" w:rsidRPr="00551A1F">
        <w:rPr>
          <w:rtl/>
        </w:rPr>
        <w:t xml:space="preserve"> </w:t>
      </w:r>
      <w:r>
        <w:rPr>
          <w:rFonts w:hint="cs"/>
          <w:rtl/>
        </w:rPr>
        <w:t>ככזה</w:t>
      </w:r>
      <w:r w:rsidR="00653608" w:rsidRPr="00551A1F">
        <w:rPr>
          <w:rtl/>
        </w:rPr>
        <w:t xml:space="preserve"> </w:t>
      </w:r>
      <w:r>
        <w:rPr>
          <w:rFonts w:hint="cs"/>
          <w:rtl/>
        </w:rPr>
        <w:t>ה</w:t>
      </w:r>
      <w:r w:rsidR="00653608" w:rsidRPr="00551A1F">
        <w:rPr>
          <w:rtl/>
        </w:rPr>
        <w:t>נותן להן את ברירת הדין החל</w:t>
      </w:r>
      <w:r>
        <w:rPr>
          <w:rFonts w:hint="cs"/>
          <w:rtl/>
        </w:rPr>
        <w:t>,</w:t>
      </w:r>
      <w:r w:rsidR="00653608" w:rsidRPr="00551A1F">
        <w:rPr>
          <w:rtl/>
        </w:rPr>
        <w:t xml:space="preserve"> וזאת בניגוד לכוונת המחוקק אשר </w:t>
      </w:r>
      <w:r w:rsidR="0051382A" w:rsidRPr="00551A1F">
        <w:rPr>
          <w:rtl/>
        </w:rPr>
        <w:t>רצה שהנוסע יבחר את הדין שיחול.</w:t>
      </w:r>
      <w:r w:rsidR="00B6104F">
        <w:rPr>
          <w:rFonts w:hint="cs"/>
          <w:rtl/>
        </w:rPr>
        <w:t xml:space="preserve"> </w:t>
      </w:r>
      <w:r w:rsidR="00653608" w:rsidRPr="00551A1F">
        <w:rPr>
          <w:rtl/>
        </w:rPr>
        <w:t>לפיכך קיים צורך להבהיר את ההוראה בנדון.</w:t>
      </w:r>
    </w:p>
    <w:p w14:paraId="42670BD8" w14:textId="40663E48" w:rsidR="00653608" w:rsidRPr="00551A1F" w:rsidRDefault="003477C8" w:rsidP="00B22AFF">
      <w:pPr>
        <w:pStyle w:val="Hesber"/>
        <w:rPr>
          <w:rtl/>
        </w:rPr>
      </w:pPr>
      <w:r>
        <w:rPr>
          <w:rFonts w:hint="cs"/>
          <w:rtl/>
        </w:rPr>
        <w:t>כן</w:t>
      </w:r>
      <w:r w:rsidR="00653608" w:rsidRPr="00551A1F">
        <w:rPr>
          <w:rtl/>
        </w:rPr>
        <w:t>, כאשר חוקק</w:t>
      </w:r>
      <w:r w:rsidR="001100AA">
        <w:rPr>
          <w:rFonts w:hint="cs"/>
          <w:rtl/>
        </w:rPr>
        <w:t>ה</w:t>
      </w:r>
      <w:r w:rsidR="00653608" w:rsidRPr="00551A1F">
        <w:rPr>
          <w:rtl/>
        </w:rPr>
        <w:t xml:space="preserve"> ה</w:t>
      </w:r>
      <w:r w:rsidR="001100AA">
        <w:rPr>
          <w:rFonts w:hint="cs"/>
          <w:rtl/>
        </w:rPr>
        <w:t>תקנה</w:t>
      </w:r>
      <w:r w:rsidR="00653608" w:rsidRPr="00551A1F">
        <w:rPr>
          <w:rtl/>
        </w:rPr>
        <w:t xml:space="preserve"> האירופי</w:t>
      </w:r>
      <w:r w:rsidR="001100AA">
        <w:rPr>
          <w:rFonts w:hint="cs"/>
          <w:rtl/>
        </w:rPr>
        <w:t>ת</w:t>
      </w:r>
      <w:r w:rsidR="00653608" w:rsidRPr="00551A1F">
        <w:rPr>
          <w:rtl/>
        </w:rPr>
        <w:t>, נציבות האיחוד האירופי החליטה שעל מנת לדאוג שזכויות הנוסעים יכ</w:t>
      </w:r>
      <w:r w:rsidR="00B6104F">
        <w:rPr>
          <w:rFonts w:hint="cs"/>
          <w:rtl/>
        </w:rPr>
        <w:t>ו</w:t>
      </w:r>
      <w:r w:rsidR="00653608" w:rsidRPr="00551A1F">
        <w:rPr>
          <w:rtl/>
        </w:rPr>
        <w:t>בדו</w:t>
      </w:r>
      <w:r w:rsidR="00B6104F">
        <w:rPr>
          <w:rFonts w:hint="cs"/>
          <w:rtl/>
        </w:rPr>
        <w:t>,</w:t>
      </w:r>
      <w:r w:rsidR="00653608" w:rsidRPr="00551A1F">
        <w:rPr>
          <w:rtl/>
        </w:rPr>
        <w:t xml:space="preserve"> כל מדינה תמנה רשות לאומית אשר</w:t>
      </w:r>
      <w:r w:rsidR="00B6104F">
        <w:rPr>
          <w:rFonts w:hint="cs"/>
          <w:rtl/>
        </w:rPr>
        <w:t xml:space="preserve"> תהיה</w:t>
      </w:r>
      <w:r w:rsidR="00653608" w:rsidRPr="00551A1F">
        <w:rPr>
          <w:rtl/>
        </w:rPr>
        <w:t xml:space="preserve"> אחראית על יישום ה</w:t>
      </w:r>
      <w:r w:rsidR="001100AA">
        <w:rPr>
          <w:rFonts w:hint="cs"/>
          <w:rtl/>
        </w:rPr>
        <w:t>תקנה</w:t>
      </w:r>
      <w:r w:rsidR="00653608" w:rsidRPr="00551A1F">
        <w:rPr>
          <w:rtl/>
        </w:rPr>
        <w:t xml:space="preserve"> מול חברות התעופה.</w:t>
      </w:r>
      <w:r w:rsidR="00B8268F" w:rsidRPr="00551A1F">
        <w:rPr>
          <w:rtl/>
        </w:rPr>
        <w:t xml:space="preserve"> </w:t>
      </w:r>
      <w:r w:rsidR="00653608" w:rsidRPr="00551A1F">
        <w:rPr>
          <w:rtl/>
        </w:rPr>
        <w:t>במרבית המדינות רשות התעופה האזרחית הלאומית היא הרשות האחראית.</w:t>
      </w:r>
    </w:p>
    <w:p w14:paraId="1B5E2910" w14:textId="405AE8F4" w:rsidR="00653608" w:rsidRPr="00551A1F" w:rsidRDefault="00653608" w:rsidP="00B22AFF">
      <w:pPr>
        <w:pStyle w:val="Hesber"/>
        <w:rPr>
          <w:rtl/>
        </w:rPr>
      </w:pPr>
      <w:r w:rsidRPr="00551A1F">
        <w:rPr>
          <w:rtl/>
        </w:rPr>
        <w:t>עבודת הרשות הלאומית</w:t>
      </w:r>
      <w:r w:rsidR="00B6104F">
        <w:rPr>
          <w:rFonts w:hint="cs"/>
          <w:rtl/>
        </w:rPr>
        <w:t xml:space="preserve"> כרשו</w:t>
      </w:r>
      <w:r w:rsidR="003477C8">
        <w:rPr>
          <w:rFonts w:hint="cs"/>
          <w:rtl/>
        </w:rPr>
        <w:t>ת הדואגת שזכויות הנוסעים יכובדו</w:t>
      </w:r>
      <w:r w:rsidRPr="00551A1F">
        <w:rPr>
          <w:rtl/>
        </w:rPr>
        <w:t xml:space="preserve"> מאפשרת הפחתה משמעותית של התיקים הנדונים על ידי בתי המשפט וטיפול מהיר יותר בתלונות הנוסעים.</w:t>
      </w:r>
    </w:p>
    <w:p w14:paraId="49993F39" w14:textId="737B4DBB" w:rsidR="00653608" w:rsidRPr="00551A1F" w:rsidRDefault="002861BD" w:rsidP="00B22AFF">
      <w:pPr>
        <w:pStyle w:val="Hesber"/>
        <w:rPr>
          <w:rtl/>
        </w:rPr>
      </w:pPr>
      <w:r>
        <w:rPr>
          <w:rtl/>
        </w:rPr>
        <w:t>היות </w:t>
      </w:r>
      <w:r>
        <w:rPr>
          <w:rFonts w:hint="cs"/>
          <w:rtl/>
        </w:rPr>
        <w:t>ש</w:t>
      </w:r>
      <w:r w:rsidR="00653608" w:rsidRPr="00551A1F">
        <w:rPr>
          <w:rtl/>
        </w:rPr>
        <w:t>קיים קשר הדוק בין החוק הישראלי לבין ה</w:t>
      </w:r>
      <w:r w:rsidR="001E3231">
        <w:rPr>
          <w:rFonts w:hint="cs"/>
          <w:rtl/>
        </w:rPr>
        <w:t>תקנה</w:t>
      </w:r>
      <w:r w:rsidR="00653608" w:rsidRPr="00551A1F">
        <w:rPr>
          <w:rtl/>
        </w:rPr>
        <w:t xml:space="preserve"> האירופי</w:t>
      </w:r>
      <w:r w:rsidR="001E3231">
        <w:rPr>
          <w:rFonts w:hint="cs"/>
          <w:rtl/>
        </w:rPr>
        <w:t>ת</w:t>
      </w:r>
      <w:r w:rsidR="00B6104F">
        <w:rPr>
          <w:rFonts w:hint="cs"/>
          <w:rtl/>
        </w:rPr>
        <w:t>,</w:t>
      </w:r>
      <w:r w:rsidR="00653608" w:rsidRPr="00551A1F">
        <w:rPr>
          <w:rtl/>
        </w:rPr>
        <w:t xml:space="preserve"> ובמיוחד מאז חתימת הסכם </w:t>
      </w:r>
      <w:r w:rsidR="001E3231">
        <w:rPr>
          <w:rFonts w:hint="cs"/>
          <w:rtl/>
        </w:rPr>
        <w:t>"</w:t>
      </w:r>
      <w:r w:rsidR="00653608" w:rsidRPr="00551A1F">
        <w:rPr>
          <w:rtl/>
        </w:rPr>
        <w:t>השמיים הפתוחים</w:t>
      </w:r>
      <w:r w:rsidR="001E3231">
        <w:rPr>
          <w:rFonts w:hint="cs"/>
          <w:rtl/>
        </w:rPr>
        <w:t>"</w:t>
      </w:r>
      <w:r w:rsidR="00653608" w:rsidRPr="00551A1F">
        <w:rPr>
          <w:rtl/>
        </w:rPr>
        <w:t xml:space="preserve">, </w:t>
      </w:r>
      <w:r w:rsidR="00B6104F">
        <w:rPr>
          <w:rFonts w:hint="cs"/>
          <w:rtl/>
        </w:rPr>
        <w:t>קיימת חשיבות גדולה</w:t>
      </w:r>
      <w:r w:rsidR="00653608" w:rsidRPr="00551A1F">
        <w:rPr>
          <w:rtl/>
        </w:rPr>
        <w:t xml:space="preserve"> </w:t>
      </w:r>
      <w:r w:rsidR="001E3231">
        <w:rPr>
          <w:rFonts w:hint="cs"/>
          <w:rtl/>
        </w:rPr>
        <w:t>להסמיך</w:t>
      </w:r>
      <w:r w:rsidR="00653608" w:rsidRPr="00551A1F">
        <w:rPr>
          <w:rtl/>
        </w:rPr>
        <w:t xml:space="preserve"> רשות אשר תעניק סיוע דומה לנוסעים הישראליים </w:t>
      </w:r>
      <w:r w:rsidR="00653608" w:rsidRPr="00551A1F">
        <w:rPr>
          <w:rtl/>
        </w:rPr>
        <w:lastRenderedPageBreak/>
        <w:t>ואשר תאפשר דו</w:t>
      </w:r>
      <w:r w:rsidR="00551A1F">
        <w:rPr>
          <w:rFonts w:hint="cs"/>
          <w:rtl/>
        </w:rPr>
        <w:t>-</w:t>
      </w:r>
      <w:r w:rsidR="00653608" w:rsidRPr="00551A1F">
        <w:rPr>
          <w:rtl/>
        </w:rPr>
        <w:t>שיח עם הרשויות השונות באירופה.</w:t>
      </w:r>
    </w:p>
    <w:p w14:paraId="171B3AF6" w14:textId="32620E20" w:rsidR="00653608" w:rsidRDefault="00653608" w:rsidP="002861BD">
      <w:pPr>
        <w:pStyle w:val="Hesber"/>
        <w:rPr>
          <w:rtl/>
        </w:rPr>
      </w:pPr>
      <w:r w:rsidRPr="00551A1F">
        <w:rPr>
          <w:rtl/>
        </w:rPr>
        <w:t>תפקיד הרשות</w:t>
      </w:r>
      <w:r w:rsidR="003477C8">
        <w:rPr>
          <w:rFonts w:hint="cs"/>
          <w:rtl/>
        </w:rPr>
        <w:t>, בין היתר,</w:t>
      </w:r>
      <w:r w:rsidRPr="00551A1F">
        <w:rPr>
          <w:rtl/>
        </w:rPr>
        <w:t xml:space="preserve"> </w:t>
      </w:r>
      <w:r w:rsidR="002861BD">
        <w:rPr>
          <w:rFonts w:hint="cs"/>
          <w:rtl/>
        </w:rPr>
        <w:t>להיות</w:t>
      </w:r>
      <w:r w:rsidRPr="00551A1F">
        <w:rPr>
          <w:rtl/>
        </w:rPr>
        <w:t xml:space="preserve"> גורם מרתיע מול חברות תעופה כדי שהן יצייתו להוראות החוק.</w:t>
      </w:r>
    </w:p>
    <w:p w14:paraId="7C52BE84" w14:textId="1C7F9441" w:rsidR="00B6104F" w:rsidRPr="00551A1F" w:rsidRDefault="001E3231" w:rsidP="00B22AFF">
      <w:pPr>
        <w:pStyle w:val="Hesber"/>
        <w:rPr>
          <w:rtl/>
        </w:rPr>
      </w:pPr>
      <w:r>
        <w:rPr>
          <w:rFonts w:hint="cs"/>
          <w:rtl/>
        </w:rPr>
        <w:t>מאחר שרשות התעופה האזרחית בישראל היא רגולטור העוסק ברגולציה בטיחותית של</w:t>
      </w:r>
      <w:r w:rsidR="00B86C3E">
        <w:rPr>
          <w:rFonts w:hint="cs"/>
          <w:rtl/>
        </w:rPr>
        <w:t xml:space="preserve"> תחום</w:t>
      </w:r>
      <w:r>
        <w:rPr>
          <w:rFonts w:hint="cs"/>
          <w:rtl/>
        </w:rPr>
        <w:t xml:space="preserve"> התעופה</w:t>
      </w:r>
      <w:r w:rsidR="008A2B12">
        <w:rPr>
          <w:rFonts w:hint="cs"/>
          <w:rtl/>
        </w:rPr>
        <w:t>,</w:t>
      </w:r>
      <w:r w:rsidR="00B6104F">
        <w:rPr>
          <w:rFonts w:hint="cs"/>
          <w:rtl/>
        </w:rPr>
        <w:t xml:space="preserve"> מוצע לקבוע ש</w:t>
      </w:r>
      <w:r w:rsidR="000E70F5">
        <w:rPr>
          <w:rFonts w:hint="cs"/>
          <w:rtl/>
        </w:rPr>
        <w:t xml:space="preserve">הרשות להגנת הצרכן ולסחר הוגן </w:t>
      </w:r>
      <w:r w:rsidR="00FB181E">
        <w:rPr>
          <w:rFonts w:hint="cs"/>
          <w:rtl/>
        </w:rPr>
        <w:t>תהיה הרשו</w:t>
      </w:r>
      <w:r w:rsidR="008A2B12">
        <w:rPr>
          <w:rFonts w:hint="cs"/>
          <w:rtl/>
        </w:rPr>
        <w:t>ת האחראית על ביצוע חוק זה</w:t>
      </w:r>
      <w:r>
        <w:rPr>
          <w:rFonts w:hint="cs"/>
          <w:rtl/>
        </w:rPr>
        <w:t>, ובכלל זה תקיים קשרים עם</w:t>
      </w:r>
      <w:r w:rsidR="00831889">
        <w:rPr>
          <w:rFonts w:hint="cs"/>
          <w:rtl/>
        </w:rPr>
        <w:t xml:space="preserve"> גורמים </w:t>
      </w:r>
      <w:r>
        <w:rPr>
          <w:rFonts w:hint="cs"/>
          <w:rtl/>
        </w:rPr>
        <w:t>בין-לאומיים שמוסמכים להבטיח כי זכויות נוסעים יכובדו</w:t>
      </w:r>
      <w:r w:rsidR="00831889">
        <w:rPr>
          <w:rFonts w:hint="cs"/>
          <w:rtl/>
        </w:rPr>
        <w:t xml:space="preserve">. לפי הצעת החוק, </w:t>
      </w:r>
      <w:r w:rsidR="00640785">
        <w:rPr>
          <w:rFonts w:hint="cs"/>
          <w:rtl/>
        </w:rPr>
        <w:t xml:space="preserve">במסגרת סמכויותיה, </w:t>
      </w:r>
      <w:r w:rsidR="00831889">
        <w:rPr>
          <w:rFonts w:hint="cs"/>
          <w:rtl/>
        </w:rPr>
        <w:t>ה</w:t>
      </w:r>
      <w:r w:rsidR="00640785">
        <w:rPr>
          <w:rFonts w:hint="cs"/>
          <w:rtl/>
        </w:rPr>
        <w:t xml:space="preserve">רשות </w:t>
      </w:r>
      <w:r w:rsidR="00831889">
        <w:rPr>
          <w:rFonts w:hint="cs"/>
          <w:rtl/>
        </w:rPr>
        <w:t>תפעל</w:t>
      </w:r>
      <w:r w:rsidR="00640785">
        <w:rPr>
          <w:rFonts w:hint="cs"/>
          <w:rtl/>
        </w:rPr>
        <w:t>, בין היתר,</w:t>
      </w:r>
      <w:r w:rsidR="00831889">
        <w:rPr>
          <w:rFonts w:hint="cs"/>
          <w:rtl/>
        </w:rPr>
        <w:t xml:space="preserve"> לבירור תלונות נוסעים לגבי יישום הוראות החוק</w:t>
      </w:r>
      <w:r w:rsidR="00640785">
        <w:rPr>
          <w:rFonts w:hint="cs"/>
          <w:rtl/>
        </w:rPr>
        <w:t xml:space="preserve"> וטיפול בהן</w:t>
      </w:r>
      <w:r w:rsidR="008A2B12">
        <w:rPr>
          <w:rFonts w:hint="cs"/>
          <w:rtl/>
        </w:rPr>
        <w:t>.</w:t>
      </w:r>
      <w:r w:rsidR="00640785">
        <w:rPr>
          <w:rFonts w:hint="cs"/>
          <w:rtl/>
        </w:rPr>
        <w:t xml:space="preserve"> </w:t>
      </w:r>
      <w:r w:rsidR="00B86C3E">
        <w:rPr>
          <w:rFonts w:hint="cs"/>
          <w:rtl/>
        </w:rPr>
        <w:t xml:space="preserve">יצויין כי </w:t>
      </w:r>
      <w:r w:rsidR="00640785">
        <w:rPr>
          <w:rFonts w:hint="cs"/>
          <w:rtl/>
        </w:rPr>
        <w:t xml:space="preserve">הנוסח </w:t>
      </w:r>
      <w:r w:rsidR="00B86C3E">
        <w:rPr>
          <w:rFonts w:hint="cs"/>
          <w:rtl/>
        </w:rPr>
        <w:t>המוצע לעניין זה אינו הסדר ממצה</w:t>
      </w:r>
      <w:r w:rsidR="00640785">
        <w:rPr>
          <w:rFonts w:hint="cs"/>
          <w:rtl/>
        </w:rPr>
        <w:t>,</w:t>
      </w:r>
      <w:r w:rsidR="000E70F5">
        <w:rPr>
          <w:rFonts w:hint="cs"/>
          <w:rtl/>
        </w:rPr>
        <w:t xml:space="preserve"> </w:t>
      </w:r>
      <w:r w:rsidR="00640785">
        <w:rPr>
          <w:rFonts w:hint="cs"/>
          <w:rtl/>
        </w:rPr>
        <w:t>ו</w:t>
      </w:r>
      <w:r w:rsidR="000E70F5">
        <w:rPr>
          <w:rFonts w:hint="cs"/>
          <w:rtl/>
        </w:rPr>
        <w:t>ככל שיתקדם הליך החקיקה</w:t>
      </w:r>
      <w:r w:rsidR="00831889">
        <w:rPr>
          <w:rFonts w:hint="cs"/>
          <w:rtl/>
        </w:rPr>
        <w:t xml:space="preserve"> </w:t>
      </w:r>
      <w:r w:rsidR="000E70F5">
        <w:rPr>
          <w:rFonts w:hint="cs"/>
          <w:rtl/>
        </w:rPr>
        <w:t>תיבחן האפשרות להחיל את סמכויות האכיפה שנתונות</w:t>
      </w:r>
      <w:r w:rsidR="00B86C3E">
        <w:rPr>
          <w:rFonts w:hint="cs"/>
          <w:rtl/>
        </w:rPr>
        <w:t xml:space="preserve"> לרשות להגנת הצרכן ולסחר הוגן</w:t>
      </w:r>
      <w:r w:rsidR="00640785">
        <w:rPr>
          <w:rFonts w:hint="cs"/>
          <w:rtl/>
        </w:rPr>
        <w:t xml:space="preserve"> לפי חוק הגנת הצרכן, התשמ"א</w:t>
      </w:r>
      <w:r w:rsidR="00640785">
        <w:rPr>
          <w:rFonts w:hint="eastAsia"/>
          <w:rtl/>
        </w:rPr>
        <w:t>–1981,</w:t>
      </w:r>
      <w:r w:rsidR="00B86C3E">
        <w:rPr>
          <w:rFonts w:hint="cs"/>
          <w:rtl/>
        </w:rPr>
        <w:t xml:space="preserve"> ובכלל זה</w:t>
      </w:r>
      <w:r w:rsidR="000E70F5">
        <w:rPr>
          <w:rFonts w:hint="cs"/>
          <w:rtl/>
        </w:rPr>
        <w:t xml:space="preserve"> הסמכות להטיל עיצומים כספיים, גם על</w:t>
      </w:r>
      <w:r w:rsidR="00640785">
        <w:rPr>
          <w:rFonts w:hint="cs"/>
          <w:rtl/>
        </w:rPr>
        <w:t xml:space="preserve"> הפרות של הוראות</w:t>
      </w:r>
      <w:r w:rsidR="000E70F5">
        <w:rPr>
          <w:rFonts w:hint="cs"/>
          <w:rtl/>
        </w:rPr>
        <w:t xml:space="preserve"> חוק זה.</w:t>
      </w:r>
    </w:p>
    <w:p w14:paraId="52C97D35" w14:textId="3578F721" w:rsidR="000F4F12" w:rsidRPr="002861BD" w:rsidRDefault="00B8268F" w:rsidP="002861BD">
      <w:pPr>
        <w:pStyle w:val="Hesber"/>
        <w:rPr>
          <w:rtl/>
        </w:rPr>
      </w:pPr>
      <w:r w:rsidRPr="002861BD">
        <w:rPr>
          <w:rtl/>
        </w:rPr>
        <w:t>בנוסף לכך, סעיף 23</w:t>
      </w:r>
      <w:r w:rsidR="00640785" w:rsidRPr="002861BD">
        <w:rPr>
          <w:rFonts w:hint="cs"/>
          <w:rtl/>
        </w:rPr>
        <w:t>(3)</w:t>
      </w:r>
      <w:r w:rsidRPr="002861BD">
        <w:rPr>
          <w:rtl/>
        </w:rPr>
        <w:t xml:space="preserve"> לחוק </w:t>
      </w:r>
      <w:r w:rsidR="00551A1F" w:rsidRPr="002861BD">
        <w:rPr>
          <w:rFonts w:hint="cs"/>
          <w:rtl/>
        </w:rPr>
        <w:t>קבע</w:t>
      </w:r>
      <w:r w:rsidRPr="002861BD">
        <w:rPr>
          <w:rtl/>
        </w:rPr>
        <w:t xml:space="preserve"> תיקון עקיף </w:t>
      </w:r>
      <w:r w:rsidR="00640785" w:rsidRPr="002861BD">
        <w:rPr>
          <w:rFonts w:hint="cs"/>
          <w:rtl/>
        </w:rPr>
        <w:t>ב</w:t>
      </w:r>
      <w:r w:rsidRPr="002861BD">
        <w:rPr>
          <w:rtl/>
        </w:rPr>
        <w:t xml:space="preserve">סעיף 8ג </w:t>
      </w:r>
      <w:r w:rsidR="00B6104F" w:rsidRPr="002861BD">
        <w:rPr>
          <w:rFonts w:hint="cs"/>
          <w:rtl/>
        </w:rPr>
        <w:t>ל</w:t>
      </w:r>
      <w:r w:rsidRPr="002861BD">
        <w:rPr>
          <w:rtl/>
        </w:rPr>
        <w:t>חוק רישוי שירותי התעופה, התשכ"ג–1963 (להלן</w:t>
      </w:r>
      <w:r w:rsidR="003477C8" w:rsidRPr="002861BD">
        <w:rPr>
          <w:rFonts w:hint="cs"/>
          <w:rtl/>
        </w:rPr>
        <w:t xml:space="preserve"> </w:t>
      </w:r>
      <w:r w:rsidR="003477C8" w:rsidRPr="002861BD">
        <w:rPr>
          <w:rFonts w:hint="eastAsia"/>
          <w:rtl/>
        </w:rPr>
        <w:t>–</w:t>
      </w:r>
      <w:r w:rsidRPr="002861BD">
        <w:rPr>
          <w:rtl/>
        </w:rPr>
        <w:t xml:space="preserve"> "חוק רישוי</w:t>
      </w:r>
      <w:r w:rsidR="00B6104F" w:rsidRPr="002861BD">
        <w:rPr>
          <w:rFonts w:hint="cs"/>
          <w:rtl/>
        </w:rPr>
        <w:t xml:space="preserve"> שירותי </w:t>
      </w:r>
      <w:r w:rsidR="00B671CE" w:rsidRPr="002861BD">
        <w:rPr>
          <w:rFonts w:hint="cs"/>
          <w:rtl/>
        </w:rPr>
        <w:t>ה</w:t>
      </w:r>
      <w:r w:rsidR="00B6104F" w:rsidRPr="002861BD">
        <w:rPr>
          <w:rFonts w:hint="cs"/>
          <w:rtl/>
        </w:rPr>
        <w:t>תעופה</w:t>
      </w:r>
      <w:r w:rsidRPr="002861BD">
        <w:rPr>
          <w:rtl/>
        </w:rPr>
        <w:t>")</w:t>
      </w:r>
      <w:r w:rsidR="00B6104F" w:rsidRPr="002861BD">
        <w:rPr>
          <w:rFonts w:hint="cs"/>
          <w:rtl/>
        </w:rPr>
        <w:t>,</w:t>
      </w:r>
      <w:r w:rsidRPr="002861BD">
        <w:rPr>
          <w:rtl/>
        </w:rPr>
        <w:t xml:space="preserve"> שעני</w:t>
      </w:r>
      <w:r w:rsidR="00B6104F" w:rsidRPr="002861BD">
        <w:rPr>
          <w:rFonts w:hint="cs"/>
          <w:rtl/>
        </w:rPr>
        <w:t>י</w:t>
      </w:r>
      <w:r w:rsidRPr="002861BD">
        <w:rPr>
          <w:rtl/>
        </w:rPr>
        <w:t xml:space="preserve">נו </w:t>
      </w:r>
      <w:r w:rsidR="00B6104F" w:rsidRPr="002861BD">
        <w:rPr>
          <w:rFonts w:hint="cs"/>
          <w:rtl/>
        </w:rPr>
        <w:t>ה</w:t>
      </w:r>
      <w:r w:rsidRPr="002861BD">
        <w:rPr>
          <w:rtl/>
        </w:rPr>
        <w:t>חוב</w:t>
      </w:r>
      <w:r w:rsidR="00B6104F" w:rsidRPr="002861BD">
        <w:rPr>
          <w:rFonts w:hint="cs"/>
          <w:rtl/>
        </w:rPr>
        <w:t>ה</w:t>
      </w:r>
      <w:r w:rsidRPr="002861BD">
        <w:rPr>
          <w:rtl/>
        </w:rPr>
        <w:t xml:space="preserve"> למנות אדם לשם סיוע לנוסעים לממש את זכויותיהם בהתאם להוראות חוק </w:t>
      </w:r>
      <w:r w:rsidR="003477C8" w:rsidRPr="002861BD">
        <w:rPr>
          <w:rFonts w:hint="cs"/>
          <w:rtl/>
        </w:rPr>
        <w:t>שירותי תעופה (פיצוי וסיוע בשל ביטול טיסה או שינוי בתנאיה)</w:t>
      </w:r>
      <w:r w:rsidRPr="002861BD">
        <w:rPr>
          <w:rtl/>
        </w:rPr>
        <w:t>, אשר יהיה נוכח בשדה התעופה שלוש שעות לפחות לפני מועד ההמראה המתוכנן של הטיסה, ועד תום 30 דקות לאחר המראתה (להלן</w:t>
      </w:r>
      <w:r w:rsidR="00B6104F" w:rsidRPr="002861BD">
        <w:rPr>
          <w:rFonts w:hint="cs"/>
          <w:rtl/>
        </w:rPr>
        <w:t xml:space="preserve"> </w:t>
      </w:r>
      <w:r w:rsidR="00B6104F" w:rsidRPr="002861BD">
        <w:rPr>
          <w:rFonts w:hint="eastAsia"/>
          <w:rtl/>
        </w:rPr>
        <w:t>–</w:t>
      </w:r>
      <w:r w:rsidRPr="002861BD">
        <w:rPr>
          <w:rtl/>
        </w:rPr>
        <w:t xml:space="preserve"> נציג).</w:t>
      </w:r>
      <w:r w:rsidR="00640785" w:rsidRPr="002861BD">
        <w:rPr>
          <w:rFonts w:hint="cs"/>
          <w:rtl/>
        </w:rPr>
        <w:t xml:space="preserve"> לפי הסעיף האמור</w:t>
      </w:r>
      <w:r w:rsidR="00551A1F" w:rsidRPr="002861BD">
        <w:rPr>
          <w:rFonts w:hint="cs"/>
          <w:rtl/>
        </w:rPr>
        <w:t>,</w:t>
      </w:r>
      <w:r w:rsidR="00640785" w:rsidRPr="002861BD">
        <w:rPr>
          <w:rFonts w:hint="cs"/>
          <w:rtl/>
        </w:rPr>
        <w:t xml:space="preserve"> </w:t>
      </w:r>
      <w:r w:rsidRPr="002861BD">
        <w:rPr>
          <w:rtl/>
        </w:rPr>
        <w:t xml:space="preserve">החובה למנות נציג </w:t>
      </w:r>
      <w:r w:rsidR="00B22AFF" w:rsidRPr="002861BD">
        <w:rPr>
          <w:rFonts w:hint="cs"/>
          <w:rtl/>
        </w:rPr>
        <w:t>חלה היום</w:t>
      </w:r>
      <w:r w:rsidRPr="002861BD">
        <w:rPr>
          <w:rtl/>
        </w:rPr>
        <w:t xml:space="preserve"> גם בשדה תעופה מחוץ לישראל, לגבי טיסה לישראל, ובלבד שהונפק לנוסע כרטיס טיסה הלוך ושוב לטיסה מישראל ואליה, לרבות טיסה הכוללת חניית ביניים.</w:t>
      </w:r>
    </w:p>
    <w:p w14:paraId="16D53C56" w14:textId="24A46C8D" w:rsidR="000F4F12" w:rsidRPr="00551A1F" w:rsidRDefault="000F4F12" w:rsidP="002861BD">
      <w:pPr>
        <w:pStyle w:val="Hesber"/>
        <w:ind w:firstLine="0"/>
        <w:rPr>
          <w:rtl/>
        </w:rPr>
      </w:pPr>
      <w:r w:rsidRPr="00551A1F">
        <w:rPr>
          <w:rtl/>
        </w:rPr>
        <w:t xml:space="preserve">    </w:t>
      </w:r>
      <w:r w:rsidR="00B8268F" w:rsidRPr="00551A1F">
        <w:rPr>
          <w:rtl/>
        </w:rPr>
        <w:t>הדרישה למנות נציג בכל טיסה לישראל, הכוללת חניית ביניים</w:t>
      </w:r>
      <w:r w:rsidR="00B6104F">
        <w:rPr>
          <w:rFonts w:hint="cs"/>
          <w:rtl/>
        </w:rPr>
        <w:t>,</w:t>
      </w:r>
      <w:r w:rsidR="00B8268F" w:rsidRPr="00551A1F">
        <w:rPr>
          <w:rtl/>
        </w:rPr>
        <w:t xml:space="preserve"> </w:t>
      </w:r>
      <w:r w:rsidR="002861BD">
        <w:rPr>
          <w:rtl/>
        </w:rPr>
        <w:t xml:space="preserve">מרחיקת לכת </w:t>
      </w:r>
      <w:r w:rsidR="002861BD">
        <w:rPr>
          <w:rFonts w:hint="cs"/>
          <w:rtl/>
        </w:rPr>
        <w:t>ו</w:t>
      </w:r>
      <w:r w:rsidR="00B8268F" w:rsidRPr="00551A1F">
        <w:rPr>
          <w:rtl/>
        </w:rPr>
        <w:t>קובעת חובה, למעשה, להציב נציג מטעם חברת התעופה באלפי שדות תעופה ברחבי העולם</w:t>
      </w:r>
      <w:r w:rsidR="00B6104F">
        <w:rPr>
          <w:rFonts w:hint="cs"/>
          <w:rtl/>
        </w:rPr>
        <w:t>,</w:t>
      </w:r>
      <w:r w:rsidR="00B8268F" w:rsidRPr="00551A1F">
        <w:rPr>
          <w:rtl/>
        </w:rPr>
        <w:t xml:space="preserve"> גם אם קיים נוסע אחד בל</w:t>
      </w:r>
      <w:r w:rsidR="002861BD">
        <w:rPr>
          <w:rtl/>
        </w:rPr>
        <w:t xml:space="preserve">בד שנמכרה לו טיסה מישראל מאותו </w:t>
      </w:r>
      <w:r w:rsidR="00B8268F" w:rsidRPr="00551A1F">
        <w:rPr>
          <w:rtl/>
        </w:rPr>
        <w:t>יעד.</w:t>
      </w:r>
    </w:p>
    <w:p w14:paraId="27B51E50" w14:textId="5D1D5539" w:rsidR="00B8268F" w:rsidRPr="00551A1F" w:rsidRDefault="00B8268F" w:rsidP="00B22AFF">
      <w:pPr>
        <w:pStyle w:val="Hesber"/>
      </w:pPr>
      <w:r w:rsidRPr="00551A1F">
        <w:rPr>
          <w:rtl/>
        </w:rPr>
        <w:t>כך, לדוגמא, מבדיקה מדגמית של נתוני מוצא ויעד</w:t>
      </w:r>
      <w:r w:rsidRPr="00551A1F">
        <w:t xml:space="preserve">(O &amp; D) </w:t>
      </w:r>
      <w:r w:rsidRPr="00551A1F">
        <w:rPr>
          <w:rtl/>
        </w:rPr>
        <w:t>ׂ</w:t>
      </w:r>
      <w:r w:rsidRPr="00551A1F">
        <w:t xml:space="preserve"> </w:t>
      </w:r>
      <w:r w:rsidRPr="00551A1F">
        <w:rPr>
          <w:rtl/>
        </w:rPr>
        <w:t xml:space="preserve">של חברת תעופה זרה הפועלת בצורה נרחבת </w:t>
      </w:r>
      <w:r w:rsidR="00B6104F">
        <w:rPr>
          <w:rFonts w:hint="cs"/>
          <w:rtl/>
        </w:rPr>
        <w:t>בנמל התעופה בן גוריון</w:t>
      </w:r>
      <w:r w:rsidRPr="00551A1F">
        <w:rPr>
          <w:rtl/>
        </w:rPr>
        <w:t>, ניתן לראות כי החברה הטיסה למדינת ישראל בחודש</w:t>
      </w:r>
      <w:r w:rsidR="00B6104F">
        <w:rPr>
          <w:rFonts w:hint="cs"/>
          <w:rtl/>
        </w:rPr>
        <w:t xml:space="preserve"> </w:t>
      </w:r>
      <w:r w:rsidRPr="00551A1F">
        <w:rPr>
          <w:rtl/>
        </w:rPr>
        <w:t>יוני 2014,  דרך נמל הבית שלה, נוסעים מלמעלה ממאתיים יעדים שונים ברחבי העולם. בקרוב ל-50 מתוך אותם יעדים, כמות הנוסעים הכוללת שטסה מאותו יעד הייתה נמוכה מעשרה נוסעים בכל החודש.</w:t>
      </w:r>
    </w:p>
    <w:p w14:paraId="6A58A991" w14:textId="3DDD39BA" w:rsidR="00B8268F" w:rsidRPr="00551A1F" w:rsidRDefault="00B8268F" w:rsidP="00B22AFF">
      <w:pPr>
        <w:pStyle w:val="Hesber"/>
      </w:pPr>
      <w:r w:rsidRPr="00551A1F">
        <w:rPr>
          <w:rtl/>
        </w:rPr>
        <w:t>לפיכך, מוצע לתקן בתיקון עקיף את סעיף 8ג לחוק רישוי</w:t>
      </w:r>
      <w:r w:rsidR="00B6104F">
        <w:rPr>
          <w:rFonts w:hint="cs"/>
          <w:rtl/>
        </w:rPr>
        <w:t xml:space="preserve"> שירותי </w:t>
      </w:r>
      <w:r w:rsidR="00B671CE">
        <w:rPr>
          <w:rFonts w:hint="cs"/>
          <w:rtl/>
        </w:rPr>
        <w:t>ה</w:t>
      </w:r>
      <w:r w:rsidR="00B6104F">
        <w:rPr>
          <w:rFonts w:hint="cs"/>
          <w:rtl/>
        </w:rPr>
        <w:t>תעופה</w:t>
      </w:r>
      <w:r w:rsidR="00E71FFC">
        <w:rPr>
          <w:rFonts w:hint="cs"/>
          <w:rtl/>
        </w:rPr>
        <w:t>,</w:t>
      </w:r>
      <w:r w:rsidRPr="00551A1F">
        <w:rPr>
          <w:rtl/>
        </w:rPr>
        <w:t xml:space="preserve"> ולקבוע כי חובת מינוי נציג תחול </w:t>
      </w:r>
      <w:r w:rsidR="00640785">
        <w:rPr>
          <w:rFonts w:hint="cs"/>
          <w:rtl/>
        </w:rPr>
        <w:t xml:space="preserve">גם </w:t>
      </w:r>
      <w:r w:rsidRPr="00551A1F">
        <w:rPr>
          <w:rtl/>
        </w:rPr>
        <w:t>ב</w:t>
      </w:r>
      <w:r w:rsidR="002861BD">
        <w:rPr>
          <w:rFonts w:hint="cs"/>
          <w:rtl/>
        </w:rPr>
        <w:t xml:space="preserve">שדה תעופה מחוץ לישראל, </w:t>
      </w:r>
      <w:r w:rsidR="00640785">
        <w:rPr>
          <w:rFonts w:hint="cs"/>
          <w:rtl/>
        </w:rPr>
        <w:t xml:space="preserve">לגבי </w:t>
      </w:r>
      <w:r w:rsidRPr="00551A1F">
        <w:rPr>
          <w:rtl/>
        </w:rPr>
        <w:t>טיס</w:t>
      </w:r>
      <w:r w:rsidRPr="00544AC9">
        <w:rPr>
          <w:rtl/>
        </w:rPr>
        <w:t>ה ישירה לישראל</w:t>
      </w:r>
      <w:r w:rsidR="00640785">
        <w:rPr>
          <w:rFonts w:hint="cs"/>
          <w:rtl/>
        </w:rPr>
        <w:t xml:space="preserve"> ולגבי טיסה הכוללת חניית ביניים, בקטע המחבר בין יעד הביניים לבין ישראל.</w:t>
      </w:r>
    </w:p>
    <w:p w14:paraId="061267A9" w14:textId="266A70FA" w:rsidR="00B8268F" w:rsidRDefault="00B8268F" w:rsidP="00B8268F">
      <w:pPr>
        <w:pStyle w:val="NormalWeb"/>
        <w:shd w:val="clear" w:color="auto" w:fill="FFFFFF"/>
        <w:bidi/>
        <w:spacing w:before="0" w:beforeAutospacing="0" w:after="0" w:afterAutospacing="0" w:line="360" w:lineRule="auto"/>
        <w:rPr>
          <w:rFonts w:ascii="Arial" w:hAnsi="Arial" w:cs="David"/>
          <w:color w:val="222222"/>
          <w:sz w:val="28"/>
          <w:szCs w:val="28"/>
          <w:rtl/>
        </w:rPr>
      </w:pPr>
    </w:p>
    <w:p w14:paraId="29C665FC" w14:textId="77777777" w:rsidR="002861BD" w:rsidRPr="00653608" w:rsidRDefault="002861BD" w:rsidP="002861BD">
      <w:pPr>
        <w:pStyle w:val="NormalWeb"/>
        <w:shd w:val="clear" w:color="auto" w:fill="FFFFFF"/>
        <w:bidi/>
        <w:spacing w:before="0" w:beforeAutospacing="0" w:after="0" w:afterAutospacing="0" w:line="360" w:lineRule="auto"/>
        <w:rPr>
          <w:rFonts w:ascii="Arial" w:hAnsi="Arial" w:cs="David"/>
          <w:color w:val="222222"/>
          <w:sz w:val="28"/>
          <w:szCs w:val="28"/>
          <w:rtl/>
        </w:rPr>
      </w:pPr>
      <w:bookmarkStart w:id="8" w:name="_GoBack"/>
      <w:bookmarkEnd w:id="8"/>
    </w:p>
    <w:p w14:paraId="7D6E9618" w14:textId="77777777" w:rsidR="002861BD" w:rsidRPr="00D73212" w:rsidRDefault="00653608" w:rsidP="002861BD">
      <w:pPr>
        <w:pStyle w:val="Hesber"/>
        <w:rPr>
          <w:color w:val="auto"/>
          <w:rtl/>
          <w:lang w:eastAsia="en-US"/>
        </w:rPr>
      </w:pPr>
      <w:r w:rsidRPr="00653608">
        <w:rPr>
          <w:color w:val="222222"/>
          <w:sz w:val="28"/>
          <w:szCs w:val="28"/>
          <w:rtl/>
        </w:rPr>
        <w:t> </w:t>
      </w:r>
      <w:r w:rsidR="002861BD" w:rsidRPr="00D73212">
        <w:rPr>
          <w:color w:val="auto"/>
          <w:rtl/>
          <w:lang w:eastAsia="en-US"/>
        </w:rPr>
        <w:t>---------------------------------</w:t>
      </w:r>
    </w:p>
    <w:p w14:paraId="16810C22" w14:textId="77777777" w:rsidR="002861BD" w:rsidRPr="00D73212" w:rsidRDefault="002861BD" w:rsidP="002861B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FBB401A" w14:textId="77777777" w:rsidR="002861BD" w:rsidRPr="00D73212" w:rsidRDefault="002861BD" w:rsidP="002861B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D9717C8" w14:textId="77777777" w:rsidR="002861BD" w:rsidRPr="00317312" w:rsidRDefault="002861BD" w:rsidP="002861BD">
      <w:pPr>
        <w:pStyle w:val="Hesber"/>
      </w:pPr>
      <w:r>
        <w:rPr>
          <w:rFonts w:hint="cs"/>
          <w:color w:val="auto"/>
          <w:rtl/>
          <w:lang w:eastAsia="en-US"/>
        </w:rPr>
        <w:t>ה' בתמוז</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ו</w:t>
      </w:r>
      <w:r w:rsidRPr="00D73212">
        <w:rPr>
          <w:color w:val="auto"/>
          <w:rtl/>
          <w:lang w:eastAsia="en-US"/>
        </w:rPr>
        <w:t xml:space="preserve"> – </w:t>
      </w:r>
      <w:r>
        <w:rPr>
          <w:rFonts w:hint="cs"/>
          <w:color w:val="auto"/>
          <w:rtl/>
          <w:lang w:eastAsia="en-US"/>
        </w:rPr>
        <w:t>11.7</w:t>
      </w:r>
      <w:r w:rsidRPr="00D73212">
        <w:rPr>
          <w:color w:val="auto"/>
          <w:rtl/>
          <w:lang w:eastAsia="en-US"/>
        </w:rPr>
        <w:t>.1</w:t>
      </w:r>
      <w:r>
        <w:rPr>
          <w:rFonts w:hint="cs"/>
          <w:color w:val="auto"/>
          <w:rtl/>
          <w:lang w:eastAsia="en-US"/>
        </w:rPr>
        <w:t>6</w:t>
      </w:r>
    </w:p>
    <w:p w14:paraId="0AB1AD43" w14:textId="77777777" w:rsidR="00653608" w:rsidRPr="00653608" w:rsidRDefault="00653608" w:rsidP="00B8268F">
      <w:pPr>
        <w:pStyle w:val="NormalWeb"/>
        <w:shd w:val="clear" w:color="auto" w:fill="FFFFFF"/>
        <w:bidi/>
        <w:spacing w:before="0" w:beforeAutospacing="0" w:after="0" w:afterAutospacing="0" w:line="360" w:lineRule="auto"/>
        <w:rPr>
          <w:rFonts w:ascii="Arial" w:hAnsi="Arial" w:cs="David"/>
          <w:color w:val="222222"/>
          <w:sz w:val="28"/>
          <w:szCs w:val="28"/>
          <w:rtl/>
        </w:rPr>
      </w:pPr>
    </w:p>
    <w:p w14:paraId="5D50982A" w14:textId="77777777" w:rsidR="00653608" w:rsidRPr="00653608" w:rsidRDefault="00653608" w:rsidP="00653608">
      <w:pPr>
        <w:pStyle w:val="NormalWeb"/>
        <w:shd w:val="clear" w:color="auto" w:fill="FFFFFF"/>
        <w:bidi/>
        <w:spacing w:before="0" w:beforeAutospacing="0" w:after="0" w:afterAutospacing="0" w:line="360" w:lineRule="auto"/>
        <w:ind w:left="15"/>
        <w:rPr>
          <w:rFonts w:ascii="Arial" w:hAnsi="Arial" w:cs="David"/>
          <w:color w:val="222222"/>
          <w:sz w:val="28"/>
          <w:szCs w:val="28"/>
          <w:rtl/>
        </w:rPr>
      </w:pPr>
      <w:r w:rsidRPr="00653608">
        <w:rPr>
          <w:rFonts w:ascii="Arial" w:hAnsi="Arial" w:cs="David"/>
          <w:color w:val="222222"/>
          <w:sz w:val="28"/>
          <w:szCs w:val="28"/>
          <w:rtl/>
        </w:rPr>
        <w:t> </w:t>
      </w:r>
    </w:p>
    <w:p w14:paraId="1C4FEED1" w14:textId="77777777" w:rsidR="00C040FD" w:rsidRPr="00653608" w:rsidRDefault="00C040FD" w:rsidP="00653608">
      <w:pPr>
        <w:pStyle w:val="NormalWeb"/>
        <w:shd w:val="clear" w:color="auto" w:fill="FFFFFF"/>
        <w:bidi/>
        <w:spacing w:before="0" w:beforeAutospacing="0" w:after="0" w:afterAutospacing="0" w:line="360" w:lineRule="auto"/>
        <w:rPr>
          <w:rFonts w:ascii="Arial" w:hAnsi="Arial" w:cs="David"/>
          <w:color w:val="222222"/>
          <w:sz w:val="28"/>
          <w:szCs w:val="28"/>
          <w:rtl/>
        </w:rPr>
      </w:pPr>
      <w:r w:rsidRPr="00653608">
        <w:rPr>
          <w:rFonts w:ascii="Arial" w:hAnsi="Arial" w:cs="David"/>
          <w:color w:val="222222"/>
          <w:sz w:val="28"/>
          <w:szCs w:val="28"/>
          <w:rtl/>
        </w:rPr>
        <w:t> </w:t>
      </w:r>
    </w:p>
    <w:p w14:paraId="7F6961CB" w14:textId="77777777" w:rsidR="00E13C27" w:rsidRPr="00653608" w:rsidRDefault="00E13C27" w:rsidP="00653608">
      <w:pPr>
        <w:pStyle w:val="Hesber"/>
        <w:rPr>
          <w:sz w:val="28"/>
          <w:szCs w:val="28"/>
          <w:rtl/>
        </w:rPr>
      </w:pPr>
    </w:p>
    <w:sectPr w:rsidR="00E13C27" w:rsidRPr="0065360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861BD">
      <w:rPr>
        <w:rStyle w:val="ab"/>
        <w:noProof/>
        <w:rtl/>
      </w:rPr>
      <w:t>4</w:t>
    </w:r>
    <w:r>
      <w:rPr>
        <w:rStyle w:val="ab"/>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320F807D" w14:textId="413304A3" w:rsidR="00720F88" w:rsidRDefault="00720F88">
      <w:pPr>
        <w:pStyle w:val="a4"/>
        <w:rPr>
          <w:rtl/>
        </w:rPr>
      </w:pPr>
      <w:r>
        <w:rPr>
          <w:rStyle w:val="a5"/>
        </w:rPr>
        <w:footnoteRef/>
      </w:r>
      <w:r>
        <w:rPr>
          <w:rtl/>
        </w:rPr>
        <w:t xml:space="preserve"> </w:t>
      </w:r>
      <w:r>
        <w:rPr>
          <w:rFonts w:hint="cs"/>
          <w:rtl/>
        </w:rPr>
        <w:t>ס"ח התשע"ב, עמ' 414.</w:t>
      </w:r>
    </w:p>
  </w:footnote>
  <w:footnote w:id="3">
    <w:p w14:paraId="2C1BA5F7" w14:textId="0290DAFC" w:rsidR="009200F1" w:rsidRDefault="009200F1" w:rsidP="002861BD">
      <w:pPr>
        <w:pStyle w:val="a4"/>
        <w:rPr>
          <w:rtl/>
        </w:rPr>
      </w:pPr>
      <w:r>
        <w:rPr>
          <w:rStyle w:val="a5"/>
        </w:rPr>
        <w:footnoteRef/>
      </w:r>
      <w:r>
        <w:rPr>
          <w:rtl/>
        </w:rPr>
        <w:t xml:space="preserve"> </w:t>
      </w:r>
      <w:r w:rsidR="002861BD">
        <w:rPr>
          <w:rFonts w:hint="cs"/>
          <w:rtl/>
        </w:rPr>
        <w:t xml:space="preserve">ע"ר התש"ח, </w:t>
      </w:r>
      <w:r w:rsidR="006F2B51">
        <w:rPr>
          <w:rFonts w:hint="cs"/>
          <w:rtl/>
        </w:rPr>
        <w:t>תוס' א', עמ' 1.</w:t>
      </w:r>
    </w:p>
  </w:footnote>
  <w:footnote w:id="4">
    <w:p w14:paraId="5BC84E83" w14:textId="776E900B" w:rsidR="00246A77" w:rsidRDefault="00246A77">
      <w:pPr>
        <w:pStyle w:val="a4"/>
        <w:rPr>
          <w:rtl/>
        </w:rPr>
      </w:pPr>
      <w:r>
        <w:rPr>
          <w:rStyle w:val="a5"/>
        </w:rPr>
        <w:footnoteRef/>
      </w:r>
      <w:r>
        <w:rPr>
          <w:rtl/>
        </w:rPr>
        <w:t xml:space="preserve"> </w:t>
      </w:r>
      <w:r>
        <w:rPr>
          <w:rFonts w:hint="cs"/>
          <w:rtl/>
        </w:rPr>
        <w:t>ס"ח התשמ"א, עמ' 248.</w:t>
      </w:r>
    </w:p>
  </w:footnote>
  <w:footnote w:id="5">
    <w:p w14:paraId="1F86D43E" w14:textId="50A7DFE9" w:rsidR="008739E1" w:rsidRDefault="008739E1">
      <w:pPr>
        <w:pStyle w:val="a4"/>
      </w:pPr>
      <w:r>
        <w:rPr>
          <w:rStyle w:val="a5"/>
        </w:rPr>
        <w:footnoteRef/>
      </w:r>
      <w:r>
        <w:rPr>
          <w:rtl/>
        </w:rPr>
        <w:t xml:space="preserve"> </w:t>
      </w:r>
      <w:r w:rsidR="00F80376">
        <w:rPr>
          <w:rFonts w:hint="cs"/>
          <w:rtl/>
        </w:rPr>
        <w:t>ס"ח התשכ"ג, עמ' 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06DE9"/>
    <w:multiLevelType w:val="hybridMultilevel"/>
    <w:tmpl w:val="A55C318C"/>
    <w:lvl w:ilvl="0" w:tplc="362A5EA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1A42"/>
    <w:rsid w:val="00043B25"/>
    <w:rsid w:val="00063A3E"/>
    <w:rsid w:val="00072CAC"/>
    <w:rsid w:val="0007681A"/>
    <w:rsid w:val="000A542E"/>
    <w:rsid w:val="000E70F5"/>
    <w:rsid w:val="000F4F12"/>
    <w:rsid w:val="00102B6B"/>
    <w:rsid w:val="001052D4"/>
    <w:rsid w:val="0010644B"/>
    <w:rsid w:val="001100AA"/>
    <w:rsid w:val="001207F8"/>
    <w:rsid w:val="00121924"/>
    <w:rsid w:val="001279A8"/>
    <w:rsid w:val="0014195F"/>
    <w:rsid w:val="00152609"/>
    <w:rsid w:val="00153E1B"/>
    <w:rsid w:val="001A0623"/>
    <w:rsid w:val="001A5BED"/>
    <w:rsid w:val="001C23B0"/>
    <w:rsid w:val="001D7AAF"/>
    <w:rsid w:val="001E3231"/>
    <w:rsid w:val="001F2AFF"/>
    <w:rsid w:val="00203A7F"/>
    <w:rsid w:val="0021633A"/>
    <w:rsid w:val="002200A1"/>
    <w:rsid w:val="002362BF"/>
    <w:rsid w:val="00241B97"/>
    <w:rsid w:val="002425D1"/>
    <w:rsid w:val="00246756"/>
    <w:rsid w:val="00246A77"/>
    <w:rsid w:val="00250722"/>
    <w:rsid w:val="00251E58"/>
    <w:rsid w:val="00254605"/>
    <w:rsid w:val="00266D86"/>
    <w:rsid w:val="002728B4"/>
    <w:rsid w:val="00273350"/>
    <w:rsid w:val="0027600C"/>
    <w:rsid w:val="002861BD"/>
    <w:rsid w:val="00292712"/>
    <w:rsid w:val="002A487D"/>
    <w:rsid w:val="002C2E29"/>
    <w:rsid w:val="002C3041"/>
    <w:rsid w:val="002D1EE3"/>
    <w:rsid w:val="002D4CC5"/>
    <w:rsid w:val="002E34C6"/>
    <w:rsid w:val="002F1D80"/>
    <w:rsid w:val="00303293"/>
    <w:rsid w:val="00311C72"/>
    <w:rsid w:val="00313A37"/>
    <w:rsid w:val="0032070B"/>
    <w:rsid w:val="003232A2"/>
    <w:rsid w:val="00325C14"/>
    <w:rsid w:val="003477C8"/>
    <w:rsid w:val="0036422C"/>
    <w:rsid w:val="003710F6"/>
    <w:rsid w:val="00386E88"/>
    <w:rsid w:val="00392AD2"/>
    <w:rsid w:val="00396585"/>
    <w:rsid w:val="003B600A"/>
    <w:rsid w:val="003D6E38"/>
    <w:rsid w:val="003D74A0"/>
    <w:rsid w:val="004033D8"/>
    <w:rsid w:val="004073F0"/>
    <w:rsid w:val="004101FF"/>
    <w:rsid w:val="00412A7D"/>
    <w:rsid w:val="00416B4D"/>
    <w:rsid w:val="00417CFC"/>
    <w:rsid w:val="004218B0"/>
    <w:rsid w:val="00461A0D"/>
    <w:rsid w:val="00486E89"/>
    <w:rsid w:val="004A06DC"/>
    <w:rsid w:val="004B24ED"/>
    <w:rsid w:val="004B6625"/>
    <w:rsid w:val="004C4519"/>
    <w:rsid w:val="004D2D82"/>
    <w:rsid w:val="004D3876"/>
    <w:rsid w:val="004E4552"/>
    <w:rsid w:val="004E6CDF"/>
    <w:rsid w:val="004F6963"/>
    <w:rsid w:val="0051382A"/>
    <w:rsid w:val="0052235E"/>
    <w:rsid w:val="00523482"/>
    <w:rsid w:val="00544AC9"/>
    <w:rsid w:val="00551A1F"/>
    <w:rsid w:val="00553C9D"/>
    <w:rsid w:val="00562A66"/>
    <w:rsid w:val="005B064E"/>
    <w:rsid w:val="005D51AE"/>
    <w:rsid w:val="005E1C7D"/>
    <w:rsid w:val="0062674B"/>
    <w:rsid w:val="00634B6B"/>
    <w:rsid w:val="006363B2"/>
    <w:rsid w:val="00640785"/>
    <w:rsid w:val="00644940"/>
    <w:rsid w:val="00653608"/>
    <w:rsid w:val="006818A9"/>
    <w:rsid w:val="006A2D81"/>
    <w:rsid w:val="006C1D0D"/>
    <w:rsid w:val="006F2B51"/>
    <w:rsid w:val="006F5E0C"/>
    <w:rsid w:val="0070601E"/>
    <w:rsid w:val="00712C72"/>
    <w:rsid w:val="00720F88"/>
    <w:rsid w:val="0072104D"/>
    <w:rsid w:val="00727CA4"/>
    <w:rsid w:val="00735FE9"/>
    <w:rsid w:val="007447EF"/>
    <w:rsid w:val="00763CAA"/>
    <w:rsid w:val="00765F66"/>
    <w:rsid w:val="0078664F"/>
    <w:rsid w:val="007C3FA6"/>
    <w:rsid w:val="007D585A"/>
    <w:rsid w:val="007D5A12"/>
    <w:rsid w:val="007E59F9"/>
    <w:rsid w:val="00810BCD"/>
    <w:rsid w:val="00812C98"/>
    <w:rsid w:val="00814D92"/>
    <w:rsid w:val="0083181D"/>
    <w:rsid w:val="00831889"/>
    <w:rsid w:val="00837D9D"/>
    <w:rsid w:val="00843EB2"/>
    <w:rsid w:val="00865572"/>
    <w:rsid w:val="008739E1"/>
    <w:rsid w:val="00874BBC"/>
    <w:rsid w:val="0089120C"/>
    <w:rsid w:val="00892135"/>
    <w:rsid w:val="00895449"/>
    <w:rsid w:val="00895666"/>
    <w:rsid w:val="00897879"/>
    <w:rsid w:val="008A2B12"/>
    <w:rsid w:val="008A6870"/>
    <w:rsid w:val="008C2DDC"/>
    <w:rsid w:val="008C7516"/>
    <w:rsid w:val="008D7A8A"/>
    <w:rsid w:val="008E6EC7"/>
    <w:rsid w:val="008F0D63"/>
    <w:rsid w:val="008F1308"/>
    <w:rsid w:val="008F2C35"/>
    <w:rsid w:val="008F6665"/>
    <w:rsid w:val="00904591"/>
    <w:rsid w:val="00905E5F"/>
    <w:rsid w:val="0091204F"/>
    <w:rsid w:val="009200F1"/>
    <w:rsid w:val="009203DB"/>
    <w:rsid w:val="00923CD4"/>
    <w:rsid w:val="00930531"/>
    <w:rsid w:val="00930EFE"/>
    <w:rsid w:val="00943386"/>
    <w:rsid w:val="009456B6"/>
    <w:rsid w:val="00955936"/>
    <w:rsid w:val="00957589"/>
    <w:rsid w:val="009668D0"/>
    <w:rsid w:val="00966D06"/>
    <w:rsid w:val="00977258"/>
    <w:rsid w:val="00982412"/>
    <w:rsid w:val="00983A8D"/>
    <w:rsid w:val="009945B8"/>
    <w:rsid w:val="009A0DB8"/>
    <w:rsid w:val="009A7257"/>
    <w:rsid w:val="009D0044"/>
    <w:rsid w:val="009D6E0A"/>
    <w:rsid w:val="009E1E33"/>
    <w:rsid w:val="00A14672"/>
    <w:rsid w:val="00A26BD6"/>
    <w:rsid w:val="00A443CF"/>
    <w:rsid w:val="00A6611D"/>
    <w:rsid w:val="00A662F1"/>
    <w:rsid w:val="00A82CB7"/>
    <w:rsid w:val="00A86F61"/>
    <w:rsid w:val="00A942C1"/>
    <w:rsid w:val="00AA2F03"/>
    <w:rsid w:val="00AC36F7"/>
    <w:rsid w:val="00AC4A9B"/>
    <w:rsid w:val="00AC63A4"/>
    <w:rsid w:val="00AD239E"/>
    <w:rsid w:val="00AE071B"/>
    <w:rsid w:val="00AE2DF5"/>
    <w:rsid w:val="00B10265"/>
    <w:rsid w:val="00B16A99"/>
    <w:rsid w:val="00B21211"/>
    <w:rsid w:val="00B22AFF"/>
    <w:rsid w:val="00B35784"/>
    <w:rsid w:val="00B50D8A"/>
    <w:rsid w:val="00B53986"/>
    <w:rsid w:val="00B6104F"/>
    <w:rsid w:val="00B671CE"/>
    <w:rsid w:val="00B733A7"/>
    <w:rsid w:val="00B75C91"/>
    <w:rsid w:val="00B77B3A"/>
    <w:rsid w:val="00B8268F"/>
    <w:rsid w:val="00B86C3E"/>
    <w:rsid w:val="00B93DFB"/>
    <w:rsid w:val="00B975AD"/>
    <w:rsid w:val="00BA0758"/>
    <w:rsid w:val="00BC45FB"/>
    <w:rsid w:val="00BE1474"/>
    <w:rsid w:val="00BF148D"/>
    <w:rsid w:val="00C03915"/>
    <w:rsid w:val="00C040FD"/>
    <w:rsid w:val="00C23B1A"/>
    <w:rsid w:val="00C310EB"/>
    <w:rsid w:val="00C44A9E"/>
    <w:rsid w:val="00C8384C"/>
    <w:rsid w:val="00C9176A"/>
    <w:rsid w:val="00C91C97"/>
    <w:rsid w:val="00CA5B4D"/>
    <w:rsid w:val="00CD6ABD"/>
    <w:rsid w:val="00CF09BD"/>
    <w:rsid w:val="00CF1AA2"/>
    <w:rsid w:val="00D17774"/>
    <w:rsid w:val="00D505D9"/>
    <w:rsid w:val="00D63620"/>
    <w:rsid w:val="00D767F3"/>
    <w:rsid w:val="00D8410D"/>
    <w:rsid w:val="00D867D7"/>
    <w:rsid w:val="00DB7060"/>
    <w:rsid w:val="00DE3153"/>
    <w:rsid w:val="00E06736"/>
    <w:rsid w:val="00E10B57"/>
    <w:rsid w:val="00E13C27"/>
    <w:rsid w:val="00E33BBD"/>
    <w:rsid w:val="00E374F2"/>
    <w:rsid w:val="00E45103"/>
    <w:rsid w:val="00E55A60"/>
    <w:rsid w:val="00E62778"/>
    <w:rsid w:val="00E63D38"/>
    <w:rsid w:val="00E665B9"/>
    <w:rsid w:val="00E71FFC"/>
    <w:rsid w:val="00E8288B"/>
    <w:rsid w:val="00EA01E6"/>
    <w:rsid w:val="00EA3DE8"/>
    <w:rsid w:val="00EA758F"/>
    <w:rsid w:val="00ED4A6F"/>
    <w:rsid w:val="00EE36DB"/>
    <w:rsid w:val="00EF3A3A"/>
    <w:rsid w:val="00F628D6"/>
    <w:rsid w:val="00F67051"/>
    <w:rsid w:val="00F80376"/>
    <w:rsid w:val="00F86A1E"/>
    <w:rsid w:val="00FA5E88"/>
    <w:rsid w:val="00FB181E"/>
    <w:rsid w:val="00FC77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3300572-3C57-4829-AD06-233870E7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F8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20F88"/>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720F88"/>
    <w:rPr>
      <w:sz w:val="36"/>
      <w:szCs w:val="52"/>
    </w:rPr>
  </w:style>
  <w:style w:type="paragraph" w:customStyle="1" w:styleId="Cover3-Haknesset">
    <w:name w:val="Cover 3-Haknesset"/>
    <w:basedOn w:val="Cover1-Reshumot"/>
    <w:rsid w:val="00720F88"/>
    <w:rPr>
      <w:b/>
      <w:bCs/>
      <w:spacing w:val="60"/>
    </w:rPr>
  </w:style>
  <w:style w:type="paragraph" w:customStyle="1" w:styleId="Cover4-Date">
    <w:name w:val="Cover 4-Date"/>
    <w:basedOn w:val="a"/>
    <w:rsid w:val="00720F88"/>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20F88"/>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720F88"/>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720F88"/>
    <w:pPr>
      <w:spacing w:before="120" w:after="120"/>
    </w:pPr>
    <w:rPr>
      <w:color w:val="FF0000"/>
      <w:w w:val="80"/>
    </w:rPr>
  </w:style>
  <w:style w:type="paragraph" w:styleId="a3">
    <w:name w:val="endnote text"/>
    <w:basedOn w:val="a"/>
    <w:semiHidden/>
    <w:rsid w:val="00720F88"/>
    <w:pPr>
      <w:ind w:left="227" w:hanging="227"/>
    </w:pPr>
    <w:rPr>
      <w:sz w:val="14"/>
      <w:szCs w:val="22"/>
    </w:rPr>
  </w:style>
  <w:style w:type="paragraph" w:customStyle="1" w:styleId="TableText">
    <w:name w:val="Table Text"/>
    <w:basedOn w:val="a"/>
    <w:rsid w:val="00720F88"/>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720F88"/>
  </w:style>
  <w:style w:type="paragraph" w:customStyle="1" w:styleId="TableBlock">
    <w:name w:val="Table Block"/>
    <w:basedOn w:val="TableText"/>
    <w:rsid w:val="00720F88"/>
    <w:pPr>
      <w:ind w:right="0"/>
      <w:jc w:val="both"/>
    </w:pPr>
  </w:style>
  <w:style w:type="paragraph" w:customStyle="1" w:styleId="TableHead">
    <w:name w:val="Table Head"/>
    <w:basedOn w:val="TableText"/>
    <w:rsid w:val="00720F88"/>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20F88"/>
  </w:style>
  <w:style w:type="paragraph" w:customStyle="1" w:styleId="Hesber">
    <w:name w:val="Hesber"/>
    <w:basedOn w:val="a"/>
    <w:rsid w:val="00720F88"/>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720F88"/>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720F88"/>
    <w:rPr>
      <w:vertAlign w:val="superscript"/>
    </w:rPr>
  </w:style>
  <w:style w:type="paragraph" w:customStyle="1" w:styleId="HesberHeading">
    <w:name w:val="Hesber Heading"/>
    <w:basedOn w:val="Hesber"/>
    <w:rsid w:val="00720F88"/>
    <w:pPr>
      <w:tabs>
        <w:tab w:val="left" w:pos="624"/>
        <w:tab w:val="left" w:pos="1247"/>
      </w:tabs>
      <w:ind w:firstLine="0"/>
    </w:pPr>
    <w:rPr>
      <w:b/>
      <w:bCs/>
    </w:rPr>
  </w:style>
  <w:style w:type="paragraph" w:customStyle="1" w:styleId="HesberWriters">
    <w:name w:val="Hesber Writers"/>
    <w:basedOn w:val="Hesber"/>
    <w:rsid w:val="00720F88"/>
    <w:pPr>
      <w:spacing w:before="120" w:after="6000"/>
      <w:ind w:left="1418" w:firstLine="0"/>
      <w:jc w:val="right"/>
    </w:pPr>
    <w:rPr>
      <w:b/>
      <w:bCs/>
    </w:rPr>
  </w:style>
  <w:style w:type="paragraph" w:customStyle="1" w:styleId="Hesber1st">
    <w:name w:val="Hesber 1st"/>
    <w:basedOn w:val="Hesber"/>
    <w:rsid w:val="00720F88"/>
    <w:pPr>
      <w:tabs>
        <w:tab w:val="left" w:pos="680"/>
        <w:tab w:val="left" w:pos="1020"/>
      </w:tabs>
      <w:ind w:firstLine="0"/>
    </w:pPr>
  </w:style>
  <w:style w:type="character" w:styleId="a6">
    <w:name w:val="endnote reference"/>
    <w:basedOn w:val="a0"/>
    <w:semiHidden/>
    <w:rsid w:val="00720F88"/>
    <w:rPr>
      <w:vertAlign w:val="superscript"/>
    </w:rPr>
  </w:style>
  <w:style w:type="paragraph" w:customStyle="1" w:styleId="TableBlockOutdent">
    <w:name w:val="Table BlockOutdent"/>
    <w:basedOn w:val="TableBlock"/>
    <w:rsid w:val="00720F88"/>
    <w:pPr>
      <w:ind w:left="624" w:hanging="624"/>
    </w:pPr>
  </w:style>
  <w:style w:type="paragraph" w:styleId="a7">
    <w:name w:val="header"/>
    <w:basedOn w:val="a"/>
    <w:rsid w:val="00720F88"/>
    <w:pPr>
      <w:tabs>
        <w:tab w:val="center" w:pos="4153"/>
        <w:tab w:val="right" w:pos="8306"/>
      </w:tabs>
    </w:pPr>
  </w:style>
  <w:style w:type="paragraph" w:styleId="a8">
    <w:name w:val="footer"/>
    <w:basedOn w:val="a"/>
    <w:link w:val="a9"/>
    <w:rsid w:val="00720F88"/>
    <w:pPr>
      <w:tabs>
        <w:tab w:val="center" w:pos="4153"/>
        <w:tab w:val="right" w:pos="8306"/>
      </w:tabs>
    </w:pPr>
  </w:style>
  <w:style w:type="paragraph" w:customStyle="1" w:styleId="HeadDivreiHesber">
    <w:name w:val="Head DivreiHesber"/>
    <w:basedOn w:val="a"/>
    <w:rsid w:val="00720F88"/>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720F88"/>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720F8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paragraph" w:styleId="NormalWeb">
    <w:name w:val="Normal (Web)"/>
    <w:basedOn w:val="a"/>
    <w:uiPriority w:val="99"/>
    <w:semiHidden/>
    <w:unhideWhenUsed/>
    <w:rsid w:val="00C040F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a9">
    <w:name w:val="כותרת תחתונה תו"/>
    <w:link w:val="a8"/>
    <w:rsid w:val="00EE36DB"/>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7100">
      <w:bodyDiv w:val="1"/>
      <w:marLeft w:val="0"/>
      <w:marRight w:val="0"/>
      <w:marTop w:val="0"/>
      <w:marBottom w:val="0"/>
      <w:divBdr>
        <w:top w:val="none" w:sz="0" w:space="0" w:color="auto"/>
        <w:left w:val="none" w:sz="0" w:space="0" w:color="auto"/>
        <w:bottom w:val="none" w:sz="0" w:space="0" w:color="auto"/>
        <w:right w:val="none" w:sz="0" w:space="0" w:color="auto"/>
      </w:divBdr>
      <w:divsChild>
        <w:div w:id="1030453700">
          <w:marLeft w:val="0"/>
          <w:marRight w:val="0"/>
          <w:marTop w:val="0"/>
          <w:marBottom w:val="0"/>
          <w:divBdr>
            <w:top w:val="none" w:sz="0" w:space="0" w:color="auto"/>
            <w:left w:val="none" w:sz="0" w:space="0" w:color="auto"/>
            <w:bottom w:val="none" w:sz="0" w:space="0" w:color="auto"/>
            <w:right w:val="none" w:sz="0" w:space="0" w:color="auto"/>
          </w:divBdr>
        </w:div>
      </w:divsChild>
    </w:div>
    <w:div w:id="315377418">
      <w:bodyDiv w:val="1"/>
      <w:marLeft w:val="0"/>
      <w:marRight w:val="0"/>
      <w:marTop w:val="0"/>
      <w:marBottom w:val="0"/>
      <w:divBdr>
        <w:top w:val="none" w:sz="0" w:space="0" w:color="auto"/>
        <w:left w:val="none" w:sz="0" w:space="0" w:color="auto"/>
        <w:bottom w:val="none" w:sz="0" w:space="0" w:color="auto"/>
        <w:right w:val="none" w:sz="0" w:space="0" w:color="auto"/>
      </w:divBdr>
      <w:divsChild>
        <w:div w:id="1923181619">
          <w:marLeft w:val="0"/>
          <w:marRight w:val="0"/>
          <w:marTop w:val="0"/>
          <w:marBottom w:val="0"/>
          <w:divBdr>
            <w:top w:val="none" w:sz="0" w:space="0" w:color="auto"/>
            <w:left w:val="none" w:sz="0" w:space="0" w:color="auto"/>
            <w:bottom w:val="none" w:sz="0" w:space="0" w:color="auto"/>
            <w:right w:val="none" w:sz="0" w:space="0" w:color="auto"/>
          </w:divBdr>
        </w:div>
      </w:divsChild>
    </w:div>
    <w:div w:id="371004574">
      <w:bodyDiv w:val="1"/>
      <w:marLeft w:val="0"/>
      <w:marRight w:val="0"/>
      <w:marTop w:val="0"/>
      <w:marBottom w:val="0"/>
      <w:divBdr>
        <w:top w:val="none" w:sz="0" w:space="0" w:color="auto"/>
        <w:left w:val="none" w:sz="0" w:space="0" w:color="auto"/>
        <w:bottom w:val="none" w:sz="0" w:space="0" w:color="auto"/>
        <w:right w:val="none" w:sz="0" w:space="0" w:color="auto"/>
      </w:divBdr>
    </w:div>
    <w:div w:id="533734112">
      <w:bodyDiv w:val="1"/>
      <w:marLeft w:val="0"/>
      <w:marRight w:val="0"/>
      <w:marTop w:val="0"/>
      <w:marBottom w:val="0"/>
      <w:divBdr>
        <w:top w:val="none" w:sz="0" w:space="0" w:color="auto"/>
        <w:left w:val="none" w:sz="0" w:space="0" w:color="auto"/>
        <w:bottom w:val="none" w:sz="0" w:space="0" w:color="auto"/>
        <w:right w:val="none" w:sz="0" w:space="0" w:color="auto"/>
      </w:divBdr>
      <w:divsChild>
        <w:div w:id="554313394">
          <w:marLeft w:val="0"/>
          <w:marRight w:val="0"/>
          <w:marTop w:val="0"/>
          <w:marBottom w:val="0"/>
          <w:divBdr>
            <w:top w:val="none" w:sz="0" w:space="0" w:color="auto"/>
            <w:left w:val="none" w:sz="0" w:space="0" w:color="auto"/>
            <w:bottom w:val="none" w:sz="0" w:space="0" w:color="auto"/>
            <w:right w:val="none" w:sz="0" w:space="0" w:color="auto"/>
          </w:divBdr>
        </w:div>
      </w:divsChild>
    </w:div>
    <w:div w:id="1499610251">
      <w:bodyDiv w:val="1"/>
      <w:marLeft w:val="0"/>
      <w:marRight w:val="0"/>
      <w:marTop w:val="0"/>
      <w:marBottom w:val="0"/>
      <w:divBdr>
        <w:top w:val="none" w:sz="0" w:space="0" w:color="auto"/>
        <w:left w:val="none" w:sz="0" w:space="0" w:color="auto"/>
        <w:bottom w:val="none" w:sz="0" w:space="0" w:color="auto"/>
        <w:right w:val="none" w:sz="0" w:space="0" w:color="auto"/>
      </w:divBdr>
      <w:divsChild>
        <w:div w:id="1574311997">
          <w:marLeft w:val="0"/>
          <w:marRight w:val="0"/>
          <w:marTop w:val="0"/>
          <w:marBottom w:val="0"/>
          <w:divBdr>
            <w:top w:val="none" w:sz="0" w:space="0" w:color="auto"/>
            <w:left w:val="none" w:sz="0" w:space="0" w:color="auto"/>
            <w:bottom w:val="none" w:sz="0" w:space="0" w:color="auto"/>
            <w:right w:val="none" w:sz="0" w:space="0" w:color="auto"/>
          </w:divBdr>
        </w:div>
      </w:divsChild>
    </w:div>
    <w:div w:id="1736973943">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96057657-2E99-40AD-8DB0-E804A1713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E93CDD-1B6B-4013-B319-CA9B0A04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4</Pages>
  <Words>1239</Words>
  <Characters>6195</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51</cp:revision>
  <cp:lastPrinted>2016-07-04T13:38:00Z</cp:lastPrinted>
  <dcterms:created xsi:type="dcterms:W3CDTF">2015-04-20T09:58:00Z</dcterms:created>
  <dcterms:modified xsi:type="dcterms:W3CDTF">2016-07-07T06:58:00Z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579103</vt:r8>
  </property>
</Properties>
</file>