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BC4B9" w14:textId="77777777" w:rsidR="002F62A9" w:rsidRPr="0000131B" w:rsidRDefault="002F62A9" w:rsidP="002F62A9">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569592</w:t>
      </w:r>
      <w:bookmarkEnd w:id="0"/>
    </w:p>
    <w:p w14:paraId="78F6E876" w14:textId="77777777" w:rsidR="002F62A9" w:rsidRPr="00DB7060" w:rsidRDefault="002F62A9" w:rsidP="002F62A9">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3340EF6E" w14:textId="77777777" w:rsidR="002F62A9" w:rsidRPr="00F67051" w:rsidRDefault="002F62A9" w:rsidP="002F62A9">
      <w:pPr>
        <w:rPr>
          <w:rFonts w:cs="David"/>
          <w:b/>
          <w:bCs/>
          <w:sz w:val="26"/>
          <w:szCs w:val="26"/>
          <w:rtl/>
        </w:rPr>
      </w:pPr>
    </w:p>
    <w:p w14:paraId="4AA18308" w14:textId="1B047659" w:rsidR="002F62A9" w:rsidRPr="00CF1AA2" w:rsidRDefault="002F62A9" w:rsidP="009E72C9">
      <w:pPr>
        <w:pStyle w:val="David"/>
        <w:spacing w:line="360" w:lineRule="auto"/>
        <w:ind w:left="3544"/>
        <w:rPr>
          <w:b/>
          <w:bCs/>
          <w:sz w:val="16"/>
          <w:szCs w:val="16"/>
          <w:rtl/>
        </w:rPr>
      </w:pPr>
      <w:bookmarkStart w:id="2" w:name="LGS_Initiators_List"/>
      <w:r>
        <w:rPr>
          <w:b/>
          <w:bCs/>
          <w:rtl/>
        </w:rPr>
        <w:t>יוזמים:      חברי הכנסת</w:t>
      </w:r>
      <w:bookmarkEnd w:id="2"/>
      <w:r w:rsidRPr="00F67051">
        <w:rPr>
          <w:b/>
          <w:bCs/>
        </w:rPr>
        <w:tab/>
      </w:r>
      <w:bookmarkStart w:id="3" w:name="LGS_PM_Names"/>
      <w:r>
        <w:rPr>
          <w:rFonts w:hint="cs"/>
          <w:b/>
          <w:bCs/>
          <w:rtl/>
        </w:rPr>
        <w:t>עליזה לביא</w:t>
      </w:r>
      <w:r>
        <w:br/>
      </w:r>
      <w:r>
        <w:rPr>
          <w:rFonts w:hint="cs"/>
          <w:b/>
          <w:bCs/>
          <w:rtl/>
        </w:rPr>
        <w:t xml:space="preserve"> </w:t>
      </w:r>
      <w:r>
        <w:tab/>
      </w:r>
      <w:r>
        <w:tab/>
      </w:r>
      <w:r>
        <w:tab/>
      </w:r>
      <w:r>
        <w:tab/>
      </w:r>
      <w:r>
        <w:rPr>
          <w:rFonts w:hint="cs"/>
          <w:b/>
          <w:bCs/>
          <w:rtl/>
        </w:rPr>
        <w:t>מירב בן ארי</w:t>
      </w:r>
      <w:r>
        <w:br/>
      </w:r>
      <w:r>
        <w:rPr>
          <w:rFonts w:hint="cs"/>
          <w:b/>
          <w:bCs/>
          <w:rtl/>
        </w:rPr>
        <w:t xml:space="preserve"> </w:t>
      </w:r>
      <w:r>
        <w:tab/>
      </w:r>
      <w:r>
        <w:tab/>
      </w:r>
      <w:r>
        <w:tab/>
      </w:r>
      <w:r>
        <w:tab/>
      </w:r>
      <w:r>
        <w:rPr>
          <w:rFonts w:hint="cs"/>
          <w:b/>
          <w:bCs/>
          <w:rtl/>
        </w:rPr>
        <w:t>רועי פולקמן</w:t>
      </w:r>
      <w:r>
        <w:br/>
      </w:r>
      <w:r>
        <w:rPr>
          <w:rFonts w:hint="cs"/>
          <w:b/>
          <w:bCs/>
          <w:rtl/>
        </w:rPr>
        <w:t xml:space="preserve"> </w:t>
      </w:r>
      <w:r>
        <w:tab/>
      </w:r>
      <w:r>
        <w:tab/>
      </w:r>
      <w:r>
        <w:tab/>
      </w:r>
      <w:r>
        <w:tab/>
      </w:r>
      <w:r>
        <w:rPr>
          <w:rFonts w:hint="cs"/>
          <w:b/>
          <w:bCs/>
          <w:rtl/>
        </w:rPr>
        <w:t>סופה לנדבר</w:t>
      </w:r>
      <w:r>
        <w:br/>
      </w:r>
      <w:r>
        <w:rPr>
          <w:rFonts w:hint="cs"/>
          <w:b/>
          <w:bCs/>
          <w:rtl/>
        </w:rPr>
        <w:t xml:space="preserve"> </w:t>
      </w:r>
      <w:r>
        <w:tab/>
      </w:r>
      <w:r>
        <w:tab/>
      </w:r>
      <w:r>
        <w:tab/>
      </w:r>
      <w:r>
        <w:tab/>
      </w:r>
      <w:r>
        <w:rPr>
          <w:rFonts w:hint="cs"/>
          <w:b/>
          <w:bCs/>
          <w:rtl/>
        </w:rPr>
        <w:t>מרב מיכאלי</w:t>
      </w:r>
      <w:r>
        <w:br/>
      </w:r>
      <w:r>
        <w:rPr>
          <w:rFonts w:hint="cs"/>
          <w:b/>
          <w:bCs/>
          <w:rtl/>
        </w:rPr>
        <w:t xml:space="preserve"> </w:t>
      </w:r>
      <w:r>
        <w:tab/>
      </w:r>
      <w:r>
        <w:tab/>
      </w:r>
      <w:r>
        <w:tab/>
      </w:r>
      <w:r>
        <w:tab/>
      </w:r>
      <w:r>
        <w:rPr>
          <w:rFonts w:hint="cs"/>
          <w:b/>
          <w:bCs/>
          <w:rtl/>
        </w:rPr>
        <w:t>נאוה בוקר</w:t>
      </w:r>
      <w:r>
        <w:br/>
      </w:r>
      <w:r>
        <w:rPr>
          <w:rFonts w:hint="cs"/>
          <w:b/>
          <w:bCs/>
          <w:rtl/>
        </w:rPr>
        <w:t xml:space="preserve"> </w:t>
      </w:r>
      <w:r>
        <w:tab/>
      </w:r>
      <w:r>
        <w:tab/>
      </w:r>
      <w:r>
        <w:tab/>
      </w:r>
      <w:r>
        <w:tab/>
      </w:r>
      <w:r>
        <w:rPr>
          <w:rFonts w:hint="cs"/>
          <w:b/>
          <w:bCs/>
          <w:rtl/>
        </w:rPr>
        <w:t>מאיר כהן</w:t>
      </w:r>
      <w:r>
        <w:br/>
      </w:r>
      <w:r>
        <w:rPr>
          <w:rFonts w:hint="cs"/>
          <w:b/>
          <w:bCs/>
          <w:rtl/>
        </w:rPr>
        <w:t xml:space="preserve"> </w:t>
      </w:r>
      <w:r>
        <w:tab/>
      </w:r>
      <w:r>
        <w:tab/>
      </w:r>
      <w:r>
        <w:tab/>
      </w:r>
      <w:r>
        <w:tab/>
      </w:r>
      <w:r>
        <w:rPr>
          <w:rFonts w:hint="cs"/>
          <w:b/>
          <w:bCs/>
          <w:rtl/>
        </w:rPr>
        <w:t>חיים ילין</w:t>
      </w:r>
      <w:r>
        <w:br/>
      </w:r>
      <w:r>
        <w:rPr>
          <w:rFonts w:hint="cs"/>
          <w:b/>
          <w:bCs/>
          <w:rtl/>
        </w:rPr>
        <w:t xml:space="preserve"> </w:t>
      </w:r>
      <w:r>
        <w:tab/>
      </w:r>
      <w:r>
        <w:tab/>
      </w:r>
      <w:r>
        <w:tab/>
      </w:r>
      <w:r>
        <w:tab/>
      </w:r>
      <w:r>
        <w:rPr>
          <w:rFonts w:hint="cs"/>
          <w:b/>
          <w:bCs/>
          <w:rtl/>
        </w:rPr>
        <w:t>תמר זנדברג</w:t>
      </w:r>
      <w:r>
        <w:br/>
      </w:r>
      <w:r>
        <w:rPr>
          <w:rFonts w:hint="cs"/>
          <w:b/>
          <w:bCs/>
          <w:rtl/>
        </w:rPr>
        <w:t xml:space="preserve"> </w:t>
      </w:r>
      <w:r>
        <w:tab/>
      </w:r>
      <w:r>
        <w:tab/>
      </w:r>
      <w:r>
        <w:tab/>
      </w:r>
      <w:r>
        <w:tab/>
      </w:r>
      <w:r>
        <w:rPr>
          <w:rFonts w:hint="cs"/>
          <w:b/>
          <w:bCs/>
          <w:rtl/>
        </w:rPr>
        <w:t>יוסי יונה</w:t>
      </w:r>
      <w:r>
        <w:br/>
      </w:r>
      <w:r>
        <w:rPr>
          <w:rFonts w:hint="cs"/>
          <w:b/>
          <w:bCs/>
          <w:rtl/>
        </w:rPr>
        <w:t xml:space="preserve"> </w:t>
      </w:r>
      <w:r>
        <w:tab/>
      </w:r>
      <w:r>
        <w:tab/>
      </w:r>
      <w:r>
        <w:tab/>
      </w:r>
      <w:r>
        <w:tab/>
      </w:r>
      <w:r>
        <w:rPr>
          <w:rFonts w:hint="cs"/>
          <w:b/>
          <w:bCs/>
          <w:rtl/>
        </w:rPr>
        <w:t>מיכל בירן</w:t>
      </w:r>
      <w:r>
        <w:br/>
      </w:r>
      <w:r>
        <w:rPr>
          <w:rFonts w:hint="cs"/>
          <w:b/>
          <w:bCs/>
          <w:rtl/>
        </w:rPr>
        <w:t xml:space="preserve"> </w:t>
      </w:r>
      <w:r>
        <w:tab/>
      </w:r>
      <w:r>
        <w:tab/>
      </w:r>
      <w:r>
        <w:tab/>
      </w:r>
      <w:r>
        <w:tab/>
      </w:r>
      <w:r>
        <w:rPr>
          <w:rFonts w:hint="cs"/>
          <w:b/>
          <w:bCs/>
          <w:rtl/>
        </w:rPr>
        <w:t>איילת נחמיאס ורבין</w:t>
      </w:r>
      <w:r>
        <w:br/>
      </w:r>
      <w:r>
        <w:rPr>
          <w:rFonts w:hint="cs"/>
          <w:b/>
          <w:bCs/>
          <w:rtl/>
        </w:rPr>
        <w:t xml:space="preserve"> </w:t>
      </w:r>
      <w:r>
        <w:tab/>
      </w:r>
      <w:r>
        <w:tab/>
      </w:r>
      <w:r>
        <w:tab/>
      </w:r>
      <w:r>
        <w:tab/>
      </w:r>
      <w:r>
        <w:rPr>
          <w:rFonts w:hint="cs"/>
          <w:b/>
          <w:bCs/>
          <w:rtl/>
        </w:rPr>
        <w:t>נחמן שי</w:t>
      </w:r>
      <w:r>
        <w:br/>
      </w:r>
      <w:r>
        <w:rPr>
          <w:rFonts w:hint="cs"/>
          <w:b/>
          <w:bCs/>
          <w:rtl/>
        </w:rPr>
        <w:t xml:space="preserve"> </w:t>
      </w:r>
      <w:r>
        <w:tab/>
      </w:r>
      <w:r>
        <w:tab/>
      </w:r>
      <w:r>
        <w:tab/>
      </w:r>
      <w:r>
        <w:tab/>
      </w:r>
      <w:r>
        <w:rPr>
          <w:rFonts w:hint="cs"/>
          <w:b/>
          <w:bCs/>
          <w:rtl/>
        </w:rPr>
        <w:t>מיקי לוי</w:t>
      </w:r>
      <w:r>
        <w:br/>
      </w:r>
      <w:r>
        <w:rPr>
          <w:rFonts w:hint="cs"/>
          <w:b/>
          <w:bCs/>
          <w:rtl/>
        </w:rPr>
        <w:t xml:space="preserve"> </w:t>
      </w:r>
      <w:r>
        <w:tab/>
      </w:r>
      <w:r>
        <w:tab/>
      </w:r>
      <w:r>
        <w:tab/>
      </w:r>
      <w:r>
        <w:tab/>
      </w:r>
      <w:r>
        <w:rPr>
          <w:rFonts w:hint="cs"/>
          <w:b/>
          <w:bCs/>
          <w:rtl/>
        </w:rPr>
        <w:t>קארין אלהרר</w:t>
      </w:r>
      <w:r>
        <w:br/>
      </w:r>
      <w:r>
        <w:rPr>
          <w:rFonts w:hint="cs"/>
          <w:b/>
          <w:bCs/>
          <w:rtl/>
        </w:rPr>
        <w:t xml:space="preserve"> </w:t>
      </w:r>
      <w:r>
        <w:tab/>
      </w:r>
      <w:r>
        <w:tab/>
      </w:r>
      <w:r>
        <w:tab/>
      </w:r>
      <w:r>
        <w:tab/>
      </w:r>
      <w:r>
        <w:rPr>
          <w:rFonts w:hint="cs"/>
          <w:b/>
          <w:bCs/>
          <w:rtl/>
        </w:rPr>
        <w:t>יואל רזבוזוב</w:t>
      </w:r>
      <w:r>
        <w:br/>
      </w:r>
      <w:r>
        <w:rPr>
          <w:rFonts w:hint="cs"/>
          <w:b/>
          <w:bCs/>
          <w:rtl/>
        </w:rPr>
        <w:t xml:space="preserve"> </w:t>
      </w:r>
      <w:r>
        <w:tab/>
      </w:r>
      <w:r>
        <w:tab/>
      </w:r>
      <w:r>
        <w:tab/>
      </w:r>
      <w:r>
        <w:tab/>
      </w:r>
      <w:r>
        <w:rPr>
          <w:rFonts w:hint="cs"/>
          <w:b/>
          <w:bCs/>
          <w:rtl/>
        </w:rPr>
        <w:t>יעקב פרי</w:t>
      </w:r>
      <w:r>
        <w:br/>
      </w:r>
      <w:r>
        <w:rPr>
          <w:rFonts w:hint="cs"/>
          <w:b/>
          <w:bCs/>
          <w:rtl/>
        </w:rPr>
        <w:t xml:space="preserve"> </w:t>
      </w:r>
      <w:r>
        <w:tab/>
      </w:r>
      <w:r>
        <w:tab/>
      </w:r>
      <w:r>
        <w:tab/>
      </w:r>
      <w:r>
        <w:tab/>
      </w:r>
      <w:r>
        <w:rPr>
          <w:rFonts w:hint="cs"/>
          <w:b/>
          <w:bCs/>
          <w:rtl/>
        </w:rPr>
        <w:t>יעל גרמן</w:t>
      </w:r>
      <w:bookmarkStart w:id="4" w:name="LGS_Join_List"/>
      <w:bookmarkEnd w:id="3"/>
      <w:r>
        <w:rPr>
          <w:rtl/>
        </w:rPr>
        <w:t xml:space="preserve"> </w:t>
      </w:r>
      <w:bookmarkEnd w:id="4"/>
      <w:r w:rsidRPr="00CF1AA2">
        <w:rPr>
          <w:rFonts w:hint="cs"/>
          <w:rtl/>
        </w:rPr>
        <w:tab/>
      </w:r>
      <w:bookmarkStart w:id="5" w:name="LGS_PM_NamesJoin"/>
      <w:r>
        <w:rPr>
          <w:rFonts w:hint="cs"/>
          <w:rtl/>
        </w:rPr>
        <w:t xml:space="preserve"> </w:t>
      </w:r>
      <w:bookmarkEnd w:id="5"/>
    </w:p>
    <w:p w14:paraId="312C9429" w14:textId="77777777" w:rsidR="002F62A9" w:rsidRPr="00904591" w:rsidRDefault="002F62A9" w:rsidP="002F62A9">
      <w:pPr>
        <w:pStyle w:val="David"/>
        <w:spacing w:before="0" w:line="360" w:lineRule="auto"/>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t xml:space="preserve">           </w:t>
      </w:r>
    </w:p>
    <w:p w14:paraId="163CC2F6" w14:textId="77777777" w:rsidR="002F62A9" w:rsidRPr="00E06736" w:rsidRDefault="002F62A9" w:rsidP="002F62A9">
      <w:pPr>
        <w:pStyle w:val="David"/>
        <w:spacing w:before="0" w:line="240" w:lineRule="auto"/>
        <w:ind w:left="3544"/>
        <w:rPr>
          <w:rtl/>
        </w:rPr>
      </w:pPr>
      <w:r>
        <w:t xml:space="preserve">                                             </w:t>
      </w:r>
      <w:bookmarkStart w:id="6" w:name="Private_Number"/>
      <w:r>
        <w:rPr>
          <w:rFonts w:hint="cs"/>
          <w:rtl/>
        </w:rPr>
        <w:t>פ/2901/20</w:t>
      </w:r>
      <w:bookmarkEnd w:id="6"/>
    </w:p>
    <w:p w14:paraId="34101795" w14:textId="77777777" w:rsidR="002F62A9" w:rsidRDefault="002F62A9" w:rsidP="002F62A9">
      <w:pPr>
        <w:spacing w:before="0" w:line="360" w:lineRule="auto"/>
        <w:ind w:left="2880" w:firstLine="720"/>
        <w:rPr>
          <w:rFonts w:cs="David"/>
          <w:sz w:val="26"/>
          <w:szCs w:val="26"/>
          <w:rtl/>
        </w:rPr>
      </w:pPr>
    </w:p>
    <w:p w14:paraId="1858D9E2" w14:textId="3B20742F" w:rsidR="002F62A9" w:rsidRDefault="002F62A9" w:rsidP="009E72C9">
      <w:pPr>
        <w:pStyle w:val="HeadHatzaotHok"/>
        <w:rPr>
          <w:rtl/>
        </w:rPr>
      </w:pPr>
      <w:bookmarkStart w:id="7" w:name="LGS_Subject"/>
      <w:r>
        <w:rPr>
          <w:rFonts w:hint="cs"/>
          <w:rtl/>
        </w:rPr>
        <w:t>הצעת חוק בתי המשפט (תיקון – מגבלות על מינוי קרובי משפחה), התשע"ו–2016</w:t>
      </w:r>
      <w:bookmarkEnd w:id="7"/>
    </w:p>
    <w:tbl>
      <w:tblPr>
        <w:bidiVisual/>
        <w:tblW w:w="9637" w:type="dxa"/>
        <w:tblLayout w:type="fixed"/>
        <w:tblCellMar>
          <w:top w:w="57" w:type="dxa"/>
          <w:left w:w="0" w:type="dxa"/>
          <w:bottom w:w="57" w:type="dxa"/>
          <w:right w:w="0" w:type="dxa"/>
        </w:tblCellMar>
        <w:tblLook w:val="0000" w:firstRow="0" w:lastRow="0" w:firstColumn="0" w:lastColumn="0" w:noHBand="0" w:noVBand="0"/>
      </w:tblPr>
      <w:tblGrid>
        <w:gridCol w:w="1869"/>
        <w:gridCol w:w="624"/>
        <w:gridCol w:w="624"/>
        <w:gridCol w:w="624"/>
        <w:gridCol w:w="624"/>
        <w:gridCol w:w="624"/>
        <w:gridCol w:w="624"/>
        <w:gridCol w:w="4024"/>
      </w:tblGrid>
      <w:tr w:rsidR="002F62A9" w:rsidRPr="003C5E36" w14:paraId="48333199" w14:textId="77777777" w:rsidTr="009873CE">
        <w:trPr>
          <w:cantSplit/>
        </w:trPr>
        <w:tc>
          <w:tcPr>
            <w:tcW w:w="1869" w:type="dxa"/>
            <w:tcBorders>
              <w:top w:val="nil"/>
              <w:left w:val="nil"/>
              <w:bottom w:val="nil"/>
              <w:right w:val="nil"/>
            </w:tcBorders>
          </w:tcPr>
          <w:p w14:paraId="23AB744B" w14:textId="77777777" w:rsidR="002F62A9" w:rsidRPr="003C5E36" w:rsidRDefault="002F62A9" w:rsidP="00871492">
            <w:pPr>
              <w:pStyle w:val="TableSideHeading"/>
              <w:ind w:right="0"/>
            </w:pPr>
            <w:r w:rsidRPr="003C5E36">
              <w:rPr>
                <w:rFonts w:hint="cs"/>
                <w:rtl/>
              </w:rPr>
              <w:t>הוספת</w:t>
            </w:r>
            <w:r w:rsidRPr="003C5E36">
              <w:rPr>
                <w:rtl/>
              </w:rPr>
              <w:t xml:space="preserve"> סעיף</w:t>
            </w:r>
            <w:r w:rsidRPr="003C5E36">
              <w:rPr>
                <w:rFonts w:hint="cs"/>
                <w:rtl/>
              </w:rPr>
              <w:t xml:space="preserve"> 7ב</w:t>
            </w:r>
          </w:p>
        </w:tc>
        <w:tc>
          <w:tcPr>
            <w:tcW w:w="624" w:type="dxa"/>
            <w:tcBorders>
              <w:top w:val="nil"/>
              <w:left w:val="nil"/>
              <w:bottom w:val="nil"/>
              <w:right w:val="nil"/>
            </w:tcBorders>
          </w:tcPr>
          <w:p w14:paraId="039915C6" w14:textId="77777777" w:rsidR="002F62A9" w:rsidRPr="003C5E36" w:rsidRDefault="002F62A9" w:rsidP="00871492">
            <w:pPr>
              <w:pStyle w:val="TableText"/>
              <w:ind w:right="0"/>
              <w:jc w:val="both"/>
            </w:pPr>
            <w:r w:rsidRPr="003C5E36">
              <w:rPr>
                <w:rFonts w:hint="cs"/>
                <w:rtl/>
              </w:rPr>
              <w:t>1.</w:t>
            </w:r>
          </w:p>
        </w:tc>
        <w:tc>
          <w:tcPr>
            <w:tcW w:w="7144" w:type="dxa"/>
            <w:gridSpan w:val="6"/>
            <w:tcBorders>
              <w:top w:val="nil"/>
              <w:left w:val="nil"/>
              <w:bottom w:val="nil"/>
              <w:right w:val="nil"/>
            </w:tcBorders>
          </w:tcPr>
          <w:p w14:paraId="22E50D12" w14:textId="1896C830" w:rsidR="002F62A9" w:rsidRPr="003C5E36" w:rsidRDefault="002F62A9" w:rsidP="00871492">
            <w:pPr>
              <w:pStyle w:val="TableBlock"/>
            </w:pPr>
            <w:r w:rsidRPr="003C5E36">
              <w:rPr>
                <w:rtl/>
              </w:rPr>
              <w:t xml:space="preserve">בחוק </w:t>
            </w:r>
            <w:r w:rsidRPr="003C5E36">
              <w:rPr>
                <w:rFonts w:hint="cs"/>
                <w:rtl/>
              </w:rPr>
              <w:t>בתי המשפט</w:t>
            </w:r>
            <w:r w:rsidR="00F900C4">
              <w:rPr>
                <w:rFonts w:hint="cs"/>
                <w:rtl/>
              </w:rPr>
              <w:t xml:space="preserve"> [נוסח משולב]</w:t>
            </w:r>
            <w:r w:rsidRPr="003C5E36">
              <w:rPr>
                <w:rtl/>
              </w:rPr>
              <w:t>,</w:t>
            </w:r>
            <w:r w:rsidRPr="003C5E36">
              <w:rPr>
                <w:rFonts w:hint="cs"/>
                <w:rtl/>
              </w:rPr>
              <w:t xml:space="preserve"> </w:t>
            </w:r>
            <w:r>
              <w:rPr>
                <w:rFonts w:hint="cs"/>
                <w:rtl/>
              </w:rPr>
              <w:t>ה</w:t>
            </w:r>
            <w:r w:rsidRPr="003C5E36">
              <w:rPr>
                <w:rFonts w:hint="cs"/>
                <w:rtl/>
              </w:rPr>
              <w:t>תשמ"ד</w:t>
            </w:r>
            <w:r>
              <w:rPr>
                <w:rtl/>
              </w:rPr>
              <w:t>–</w:t>
            </w:r>
            <w:r w:rsidRPr="003C5E36">
              <w:rPr>
                <w:rFonts w:hint="cs"/>
                <w:rtl/>
              </w:rPr>
              <w:t>1984</w:t>
            </w:r>
            <w:r>
              <w:rPr>
                <w:rStyle w:val="a5"/>
                <w:rtl/>
              </w:rPr>
              <w:footnoteReference w:id="2"/>
            </w:r>
            <w:r w:rsidRPr="003C5E36">
              <w:rPr>
                <w:rFonts w:hint="cs"/>
                <w:rtl/>
              </w:rPr>
              <w:t>,</w:t>
            </w:r>
            <w:r w:rsidRPr="003C5E36">
              <w:rPr>
                <w:rtl/>
              </w:rPr>
              <w:t xml:space="preserve"> </w:t>
            </w:r>
            <w:r w:rsidRPr="003C5E36">
              <w:rPr>
                <w:rFonts w:hint="cs"/>
                <w:rtl/>
              </w:rPr>
              <w:t>אחרי</w:t>
            </w:r>
            <w:r w:rsidRPr="003C5E36">
              <w:rPr>
                <w:rtl/>
              </w:rPr>
              <w:t xml:space="preserve"> סעיף </w:t>
            </w:r>
            <w:r w:rsidRPr="003C5E36">
              <w:rPr>
                <w:rFonts w:hint="cs"/>
                <w:rtl/>
              </w:rPr>
              <w:t>7א</w:t>
            </w:r>
            <w:r w:rsidRPr="003C5E36">
              <w:rPr>
                <w:rtl/>
              </w:rPr>
              <w:t xml:space="preserve"> </w:t>
            </w:r>
            <w:r w:rsidRPr="003C5E36">
              <w:rPr>
                <w:rFonts w:hint="cs"/>
                <w:rtl/>
              </w:rPr>
              <w:t>יבוא:</w:t>
            </w:r>
          </w:p>
        </w:tc>
      </w:tr>
      <w:tr w:rsidR="002F62A9" w:rsidRPr="003C5E36" w14:paraId="4E7EC625" w14:textId="77777777" w:rsidTr="009873CE">
        <w:tblPrEx>
          <w:tblLook w:val="01E0" w:firstRow="1" w:lastRow="1" w:firstColumn="1" w:lastColumn="1" w:noHBand="0" w:noVBand="0"/>
        </w:tblPrEx>
        <w:trPr>
          <w:cantSplit/>
        </w:trPr>
        <w:tc>
          <w:tcPr>
            <w:tcW w:w="1869" w:type="dxa"/>
          </w:tcPr>
          <w:p w14:paraId="6F028E0D" w14:textId="77777777" w:rsidR="002F62A9" w:rsidRPr="003C5E36" w:rsidRDefault="002F62A9" w:rsidP="00871492">
            <w:pPr>
              <w:pStyle w:val="TableSideHeading"/>
              <w:ind w:right="0"/>
            </w:pPr>
          </w:p>
        </w:tc>
        <w:tc>
          <w:tcPr>
            <w:tcW w:w="624" w:type="dxa"/>
          </w:tcPr>
          <w:p w14:paraId="50106FE6" w14:textId="77777777" w:rsidR="002F62A9" w:rsidRPr="003C5E36" w:rsidRDefault="002F62A9" w:rsidP="00871492">
            <w:pPr>
              <w:pStyle w:val="TableText"/>
              <w:ind w:right="0"/>
              <w:jc w:val="both"/>
            </w:pPr>
          </w:p>
        </w:tc>
        <w:tc>
          <w:tcPr>
            <w:tcW w:w="1872" w:type="dxa"/>
            <w:gridSpan w:val="3"/>
          </w:tcPr>
          <w:p w14:paraId="21A1A90B" w14:textId="77777777" w:rsidR="002F62A9" w:rsidRPr="003C5E36" w:rsidRDefault="002F62A9" w:rsidP="00871492">
            <w:pPr>
              <w:pStyle w:val="TableInnerSideHeading"/>
              <w:ind w:right="0"/>
            </w:pPr>
            <w:r w:rsidRPr="003C5E36">
              <w:rPr>
                <w:rFonts w:hint="cs"/>
                <w:rtl/>
              </w:rPr>
              <w:t>"</w:t>
            </w:r>
            <w:r w:rsidRPr="00F41477">
              <w:rPr>
                <w:rtl/>
              </w:rPr>
              <w:t>סייגים מטעמי קרבת משפחה</w:t>
            </w:r>
          </w:p>
        </w:tc>
        <w:tc>
          <w:tcPr>
            <w:tcW w:w="624" w:type="dxa"/>
          </w:tcPr>
          <w:p w14:paraId="51DEC058" w14:textId="77777777" w:rsidR="002F62A9" w:rsidRPr="003C5E36" w:rsidRDefault="002F62A9" w:rsidP="00871492">
            <w:pPr>
              <w:pStyle w:val="TableText"/>
              <w:ind w:right="0"/>
              <w:jc w:val="both"/>
            </w:pPr>
            <w:r w:rsidRPr="003C5E36">
              <w:rPr>
                <w:rFonts w:hint="cs"/>
                <w:rtl/>
              </w:rPr>
              <w:t>7ב.</w:t>
            </w:r>
          </w:p>
        </w:tc>
        <w:tc>
          <w:tcPr>
            <w:tcW w:w="4648" w:type="dxa"/>
            <w:gridSpan w:val="2"/>
          </w:tcPr>
          <w:p w14:paraId="6985D665" w14:textId="7BD75449" w:rsidR="002F62A9" w:rsidRPr="003C5E36" w:rsidRDefault="002F62A9" w:rsidP="008B4872">
            <w:pPr>
              <w:pStyle w:val="TableBlock"/>
            </w:pPr>
            <w:r w:rsidRPr="003C5E36">
              <w:rPr>
                <w:rFonts w:hint="cs"/>
                <w:rtl/>
              </w:rPr>
              <w:t>(א)</w:t>
            </w:r>
            <w:r w:rsidRPr="003C5E36">
              <w:rPr>
                <w:rtl/>
              </w:rPr>
              <w:tab/>
              <w:t>לא יתמנה ל</w:t>
            </w:r>
            <w:r w:rsidRPr="003C5E36">
              <w:rPr>
                <w:rFonts w:hint="cs"/>
                <w:rtl/>
              </w:rPr>
              <w:t>שופט</w:t>
            </w:r>
            <w:r w:rsidRPr="003C5E36">
              <w:rPr>
                <w:rtl/>
              </w:rPr>
              <w:t xml:space="preserve"> </w:t>
            </w:r>
            <w:r>
              <w:rPr>
                <w:rFonts w:hint="cs"/>
                <w:rtl/>
              </w:rPr>
              <w:t>מי</w:t>
            </w:r>
            <w:r w:rsidRPr="003C5E36">
              <w:rPr>
                <w:rtl/>
              </w:rPr>
              <w:t xml:space="preserve"> ש</w:t>
            </w:r>
            <w:r>
              <w:rPr>
                <w:rFonts w:hint="cs"/>
                <w:rtl/>
              </w:rPr>
              <w:t>קרוב</w:t>
            </w:r>
            <w:r w:rsidRPr="003C5E36">
              <w:rPr>
                <w:rtl/>
              </w:rPr>
              <w:t xml:space="preserve"> משפחה שלו מכהן כ</w:t>
            </w:r>
            <w:r w:rsidRPr="003C5E36">
              <w:rPr>
                <w:rFonts w:hint="cs"/>
                <w:rtl/>
              </w:rPr>
              <w:t>שופט</w:t>
            </w:r>
            <w:r w:rsidRPr="003C5E36">
              <w:rPr>
                <w:rtl/>
              </w:rPr>
              <w:t xml:space="preserve"> ב</w:t>
            </w:r>
            <w:r w:rsidRPr="003C5E36">
              <w:rPr>
                <w:rFonts w:hint="cs"/>
                <w:rtl/>
              </w:rPr>
              <w:t>בית המשפט</w:t>
            </w:r>
            <w:r w:rsidRPr="003C5E36">
              <w:rPr>
                <w:rtl/>
              </w:rPr>
              <w:t xml:space="preserve"> שב</w:t>
            </w:r>
            <w:r w:rsidRPr="003C5E36">
              <w:rPr>
                <w:rFonts w:hint="cs"/>
                <w:rtl/>
              </w:rPr>
              <w:t>ו</w:t>
            </w:r>
            <w:r w:rsidRPr="003C5E36">
              <w:rPr>
                <w:rtl/>
              </w:rPr>
              <w:t xml:space="preserve"> הוא מועמד לכהן או ב</w:t>
            </w:r>
            <w:r w:rsidRPr="003C5E36">
              <w:rPr>
                <w:rFonts w:hint="cs"/>
                <w:rtl/>
              </w:rPr>
              <w:t>ערכאה</w:t>
            </w:r>
            <w:r w:rsidRPr="003C5E36">
              <w:rPr>
                <w:rtl/>
              </w:rPr>
              <w:t xml:space="preserve"> בדרגה אחרת מזו של </w:t>
            </w:r>
            <w:r w:rsidRPr="003C5E36">
              <w:rPr>
                <w:rFonts w:hint="cs"/>
                <w:rtl/>
              </w:rPr>
              <w:t>בית המשפט</w:t>
            </w:r>
            <w:r w:rsidRPr="003C5E36">
              <w:rPr>
                <w:rtl/>
              </w:rPr>
              <w:t xml:space="preserve"> ש</w:t>
            </w:r>
            <w:r w:rsidRPr="003C5E36">
              <w:rPr>
                <w:rFonts w:hint="cs"/>
                <w:rtl/>
              </w:rPr>
              <w:t>בו</w:t>
            </w:r>
            <w:r w:rsidRPr="003C5E36">
              <w:rPr>
                <w:rtl/>
              </w:rPr>
              <w:t xml:space="preserve"> הוא מועמד לכהן</w:t>
            </w:r>
            <w:r w:rsidRPr="003C5E36">
              <w:rPr>
                <w:rFonts w:hint="cs"/>
                <w:rtl/>
              </w:rPr>
              <w:t>, או ש</w:t>
            </w:r>
            <w:r w:rsidR="00BB0763">
              <w:rPr>
                <w:rFonts w:hint="cs"/>
                <w:rtl/>
              </w:rPr>
              <w:t>קרוב</w:t>
            </w:r>
            <w:r w:rsidRPr="003C5E36">
              <w:rPr>
                <w:rFonts w:hint="cs"/>
                <w:rtl/>
              </w:rPr>
              <w:t xml:space="preserve"> משפחה שלו חבר בוועדה למינוי שופטים אשר דנה במינויו</w:t>
            </w:r>
            <w:r w:rsidR="008B4872">
              <w:rPr>
                <w:rFonts w:hint="cs"/>
                <w:rtl/>
              </w:rPr>
              <w:t>;</w:t>
            </w:r>
            <w:r w:rsidR="008B4872">
              <w:rPr>
                <w:rtl/>
              </w:rPr>
              <w:t xml:space="preserve"> </w:t>
            </w:r>
            <w:r w:rsidR="008B4872" w:rsidRPr="00791105">
              <w:rPr>
                <w:rtl/>
              </w:rPr>
              <w:t>לעניין סעיף זה</w:t>
            </w:r>
            <w:r w:rsidR="008B4872">
              <w:rPr>
                <w:rFonts w:hint="cs"/>
                <w:rtl/>
              </w:rPr>
              <w:t xml:space="preserve"> </w:t>
            </w:r>
            <w:r w:rsidR="008B4872">
              <w:rPr>
                <w:rtl/>
              </w:rPr>
              <w:t>–</w:t>
            </w:r>
            <w:r w:rsidR="009873CE">
              <w:rPr>
                <w:rFonts w:hint="cs"/>
                <w:rtl/>
              </w:rPr>
              <w:t xml:space="preserve"> </w:t>
            </w:r>
            <w:r w:rsidR="009873CE" w:rsidRPr="00A47D5D">
              <w:rPr>
                <w:rtl/>
              </w:rPr>
              <w:t>"</w:t>
            </w:r>
            <w:r w:rsidR="009873CE" w:rsidRPr="00A47D5D">
              <w:rPr>
                <w:rFonts w:hint="cs"/>
                <w:rtl/>
              </w:rPr>
              <w:t>קרוב משפחה</w:t>
            </w:r>
            <w:r w:rsidR="009873CE" w:rsidRPr="00A47D5D">
              <w:rPr>
                <w:rtl/>
              </w:rPr>
              <w:t>"</w:t>
            </w:r>
            <w:r w:rsidR="009873CE" w:rsidRPr="00A47D5D">
              <w:rPr>
                <w:rFonts w:hint="cs"/>
                <w:rtl/>
              </w:rPr>
              <w:t xml:space="preserve"> </w:t>
            </w:r>
            <w:r w:rsidR="009873CE" w:rsidRPr="00A47D5D">
              <w:rPr>
                <w:rtl/>
              </w:rPr>
              <w:t>–</w:t>
            </w:r>
            <w:r w:rsidR="009873CE" w:rsidRPr="00A47D5D">
              <w:rPr>
                <w:rFonts w:hint="cs"/>
                <w:rtl/>
              </w:rPr>
              <w:t xml:space="preserve"> </w:t>
            </w:r>
            <w:r w:rsidR="009873CE" w:rsidRPr="00A47D5D">
              <w:rPr>
                <w:rtl/>
              </w:rPr>
              <w:t>הור</w:t>
            </w:r>
            <w:r w:rsidR="009873CE" w:rsidRPr="00A47D5D">
              <w:rPr>
                <w:rFonts w:hint="cs"/>
                <w:rtl/>
              </w:rPr>
              <w:t>ה, סב</w:t>
            </w:r>
            <w:r w:rsidR="009873CE" w:rsidRPr="00A47D5D">
              <w:rPr>
                <w:rtl/>
              </w:rPr>
              <w:t>,</w:t>
            </w:r>
            <w:r w:rsidR="009873CE" w:rsidRPr="00A47D5D">
              <w:rPr>
                <w:rFonts w:hint="cs"/>
                <w:rtl/>
              </w:rPr>
              <w:t xml:space="preserve"> אח, גיס, חם, חתן, בן וצאצאיהם. </w:t>
            </w:r>
            <w:r w:rsidR="009873CE" w:rsidRPr="00A47D5D">
              <w:rPr>
                <w:rtl/>
              </w:rPr>
              <w:t xml:space="preserve"> </w:t>
            </w:r>
          </w:p>
        </w:tc>
      </w:tr>
      <w:tr w:rsidR="002F62A9" w:rsidRPr="003C5E36" w14:paraId="51409706" w14:textId="77777777" w:rsidTr="009873CE">
        <w:tblPrEx>
          <w:tblLook w:val="01E0" w:firstRow="1" w:lastRow="1" w:firstColumn="1" w:lastColumn="1" w:noHBand="0" w:noVBand="0"/>
        </w:tblPrEx>
        <w:trPr>
          <w:cantSplit/>
        </w:trPr>
        <w:tc>
          <w:tcPr>
            <w:tcW w:w="1869" w:type="dxa"/>
          </w:tcPr>
          <w:p w14:paraId="70845108" w14:textId="77777777" w:rsidR="002F62A9" w:rsidRPr="003C5E36" w:rsidRDefault="002F62A9" w:rsidP="00871492">
            <w:pPr>
              <w:pStyle w:val="TableSideHeading"/>
              <w:ind w:right="0"/>
            </w:pPr>
          </w:p>
        </w:tc>
        <w:tc>
          <w:tcPr>
            <w:tcW w:w="624" w:type="dxa"/>
          </w:tcPr>
          <w:p w14:paraId="1F2586B6" w14:textId="77777777" w:rsidR="002F62A9" w:rsidRPr="003C5E36" w:rsidRDefault="002F62A9" w:rsidP="00871492">
            <w:pPr>
              <w:pStyle w:val="TableText"/>
              <w:ind w:right="0"/>
              <w:jc w:val="both"/>
            </w:pPr>
          </w:p>
        </w:tc>
        <w:tc>
          <w:tcPr>
            <w:tcW w:w="624" w:type="dxa"/>
          </w:tcPr>
          <w:p w14:paraId="7DADAFAF" w14:textId="77777777" w:rsidR="002F62A9" w:rsidRPr="003C5E36" w:rsidRDefault="002F62A9" w:rsidP="00871492">
            <w:pPr>
              <w:pStyle w:val="TableText"/>
              <w:ind w:right="0"/>
              <w:jc w:val="both"/>
            </w:pPr>
          </w:p>
        </w:tc>
        <w:tc>
          <w:tcPr>
            <w:tcW w:w="624" w:type="dxa"/>
          </w:tcPr>
          <w:p w14:paraId="0B39B5ED" w14:textId="77777777" w:rsidR="002F62A9" w:rsidRPr="003C5E36" w:rsidRDefault="002F62A9" w:rsidP="00871492">
            <w:pPr>
              <w:pStyle w:val="TableText"/>
              <w:ind w:right="0"/>
              <w:jc w:val="both"/>
            </w:pPr>
          </w:p>
        </w:tc>
        <w:tc>
          <w:tcPr>
            <w:tcW w:w="624" w:type="dxa"/>
          </w:tcPr>
          <w:p w14:paraId="4005078F" w14:textId="77777777" w:rsidR="002F62A9" w:rsidRPr="003C5E36" w:rsidRDefault="002F62A9" w:rsidP="00871492">
            <w:pPr>
              <w:pStyle w:val="TableText"/>
              <w:ind w:right="0"/>
              <w:jc w:val="both"/>
            </w:pPr>
          </w:p>
        </w:tc>
        <w:tc>
          <w:tcPr>
            <w:tcW w:w="624" w:type="dxa"/>
          </w:tcPr>
          <w:p w14:paraId="1BFFD736" w14:textId="77777777" w:rsidR="002F62A9" w:rsidRPr="003C5E36" w:rsidRDefault="002F62A9" w:rsidP="00871492">
            <w:pPr>
              <w:pStyle w:val="TableText"/>
              <w:ind w:right="0"/>
              <w:jc w:val="both"/>
            </w:pPr>
          </w:p>
        </w:tc>
        <w:tc>
          <w:tcPr>
            <w:tcW w:w="4648" w:type="dxa"/>
            <w:gridSpan w:val="2"/>
          </w:tcPr>
          <w:p w14:paraId="40EFF96D" w14:textId="4D89025A" w:rsidR="002F62A9" w:rsidRPr="003C5E36" w:rsidRDefault="002F62A9" w:rsidP="00871492">
            <w:pPr>
              <w:pStyle w:val="TableBlock"/>
            </w:pPr>
            <w:r w:rsidRPr="003C5E36">
              <w:rPr>
                <w:rFonts w:hint="cs"/>
                <w:rtl/>
              </w:rPr>
              <w:t>(ב)</w:t>
            </w:r>
            <w:r w:rsidRPr="003C5E36">
              <w:rPr>
                <w:rtl/>
              </w:rPr>
              <w:tab/>
              <w:t xml:space="preserve">על אף האמור בסעיף קטן </w:t>
            </w:r>
            <w:r w:rsidRPr="003C5E36">
              <w:rPr>
                <w:rFonts w:hint="cs"/>
                <w:rtl/>
              </w:rPr>
              <w:t xml:space="preserve">(א), </w:t>
            </w:r>
            <w:r w:rsidRPr="003C5E36">
              <w:rPr>
                <w:rtl/>
              </w:rPr>
              <w:t>רשאי</w:t>
            </w:r>
            <w:r>
              <w:rPr>
                <w:rFonts w:hint="cs"/>
                <w:rtl/>
              </w:rPr>
              <w:t>ת ה</w:t>
            </w:r>
            <w:r w:rsidR="00A47D5D">
              <w:rPr>
                <w:rFonts w:hint="cs"/>
                <w:rtl/>
              </w:rPr>
              <w:t>ו</w:t>
            </w:r>
            <w:r>
              <w:rPr>
                <w:rFonts w:hint="cs"/>
                <w:rtl/>
              </w:rPr>
              <w:t>ו</w:t>
            </w:r>
            <w:r w:rsidRPr="003C5E36">
              <w:rPr>
                <w:rFonts w:hint="cs"/>
                <w:rtl/>
              </w:rPr>
              <w:t xml:space="preserve">עדה לאשר מינוי של </w:t>
            </w:r>
            <w:r>
              <w:rPr>
                <w:rFonts w:hint="cs"/>
                <w:rtl/>
              </w:rPr>
              <w:t>קרוב</w:t>
            </w:r>
            <w:r w:rsidRPr="003C5E36">
              <w:rPr>
                <w:rFonts w:hint="cs"/>
                <w:rtl/>
              </w:rPr>
              <w:t xml:space="preserve"> משפחה, מטעמים מיוחדים, </w:t>
            </w:r>
            <w:r w:rsidRPr="003C5E36">
              <w:rPr>
                <w:rtl/>
              </w:rPr>
              <w:t xml:space="preserve">בתנאים </w:t>
            </w:r>
            <w:r w:rsidRPr="003C5E36">
              <w:rPr>
                <w:rFonts w:hint="cs"/>
                <w:rtl/>
              </w:rPr>
              <w:t>שתראה</w:t>
            </w:r>
            <w:r w:rsidRPr="003C5E36">
              <w:rPr>
                <w:rtl/>
              </w:rPr>
              <w:t xml:space="preserve"> לנכון </w:t>
            </w:r>
            <w:r w:rsidRPr="003C5E36">
              <w:rPr>
                <w:rFonts w:hint="cs"/>
                <w:rtl/>
              </w:rPr>
              <w:t>ו</w:t>
            </w:r>
            <w:r w:rsidRPr="003C5E36">
              <w:rPr>
                <w:rtl/>
              </w:rPr>
              <w:t xml:space="preserve">בהתחשב בשיקולים המפורטים בסעיף קטן </w:t>
            </w:r>
            <w:r w:rsidRPr="003C5E36">
              <w:rPr>
                <w:rFonts w:hint="cs"/>
                <w:rtl/>
              </w:rPr>
              <w:t>(ג)</w:t>
            </w:r>
            <w:r>
              <w:rPr>
                <w:rFonts w:hint="cs"/>
                <w:rtl/>
              </w:rPr>
              <w:t xml:space="preserve"> </w:t>
            </w:r>
            <w:r w:rsidRPr="00E460A6">
              <w:rPr>
                <w:rtl/>
              </w:rPr>
              <w:t>ובלבד ששוכנעה כי העסקה כאמור לא תפגע בטוהר המידות</w:t>
            </w:r>
            <w:r>
              <w:rPr>
                <w:rFonts w:hint="cs"/>
                <w:rtl/>
              </w:rPr>
              <w:t>.</w:t>
            </w:r>
          </w:p>
        </w:tc>
      </w:tr>
      <w:tr w:rsidR="002F62A9" w:rsidRPr="003C5E36" w14:paraId="446C010D" w14:textId="77777777" w:rsidTr="009873CE">
        <w:tblPrEx>
          <w:tblLook w:val="01E0" w:firstRow="1" w:lastRow="1" w:firstColumn="1" w:lastColumn="1" w:noHBand="0" w:noVBand="0"/>
        </w:tblPrEx>
        <w:trPr>
          <w:cantSplit/>
        </w:trPr>
        <w:tc>
          <w:tcPr>
            <w:tcW w:w="1869" w:type="dxa"/>
          </w:tcPr>
          <w:p w14:paraId="35EEA582" w14:textId="77777777" w:rsidR="002F62A9" w:rsidRPr="003C5E36" w:rsidRDefault="002F62A9" w:rsidP="00871492">
            <w:pPr>
              <w:pStyle w:val="TableSideHeading"/>
              <w:ind w:right="0"/>
            </w:pPr>
          </w:p>
        </w:tc>
        <w:tc>
          <w:tcPr>
            <w:tcW w:w="624" w:type="dxa"/>
          </w:tcPr>
          <w:p w14:paraId="1F504E63" w14:textId="77777777" w:rsidR="002F62A9" w:rsidRPr="003C5E36" w:rsidRDefault="002F62A9" w:rsidP="00871492">
            <w:pPr>
              <w:pStyle w:val="TableText"/>
              <w:ind w:right="0"/>
              <w:jc w:val="both"/>
            </w:pPr>
          </w:p>
        </w:tc>
        <w:tc>
          <w:tcPr>
            <w:tcW w:w="624" w:type="dxa"/>
          </w:tcPr>
          <w:p w14:paraId="66DBDD7E" w14:textId="77777777" w:rsidR="002F62A9" w:rsidRPr="003C5E36" w:rsidRDefault="002F62A9" w:rsidP="00871492">
            <w:pPr>
              <w:pStyle w:val="TableText"/>
              <w:ind w:right="0"/>
              <w:jc w:val="both"/>
            </w:pPr>
          </w:p>
        </w:tc>
        <w:tc>
          <w:tcPr>
            <w:tcW w:w="624" w:type="dxa"/>
          </w:tcPr>
          <w:p w14:paraId="1BCD0716" w14:textId="77777777" w:rsidR="002F62A9" w:rsidRPr="003C5E36" w:rsidRDefault="002F62A9" w:rsidP="00871492">
            <w:pPr>
              <w:pStyle w:val="TableText"/>
              <w:ind w:right="0"/>
              <w:jc w:val="both"/>
            </w:pPr>
          </w:p>
        </w:tc>
        <w:tc>
          <w:tcPr>
            <w:tcW w:w="624" w:type="dxa"/>
          </w:tcPr>
          <w:p w14:paraId="2395A871" w14:textId="77777777" w:rsidR="002F62A9" w:rsidRPr="003C5E36" w:rsidRDefault="002F62A9" w:rsidP="00871492">
            <w:pPr>
              <w:pStyle w:val="TableText"/>
              <w:ind w:right="0"/>
              <w:jc w:val="both"/>
            </w:pPr>
          </w:p>
        </w:tc>
        <w:tc>
          <w:tcPr>
            <w:tcW w:w="624" w:type="dxa"/>
          </w:tcPr>
          <w:p w14:paraId="3F6BBB89" w14:textId="77777777" w:rsidR="002F62A9" w:rsidRPr="003C5E36" w:rsidRDefault="002F62A9" w:rsidP="00871492">
            <w:pPr>
              <w:pStyle w:val="TableText"/>
              <w:ind w:right="0"/>
              <w:jc w:val="both"/>
            </w:pPr>
          </w:p>
        </w:tc>
        <w:tc>
          <w:tcPr>
            <w:tcW w:w="4648" w:type="dxa"/>
            <w:gridSpan w:val="2"/>
          </w:tcPr>
          <w:p w14:paraId="2306515C" w14:textId="77777777" w:rsidR="002F62A9" w:rsidRPr="003C5E36" w:rsidRDefault="002F62A9" w:rsidP="00871492">
            <w:pPr>
              <w:pStyle w:val="TableBlock"/>
              <w:rPr>
                <w:rtl/>
              </w:rPr>
            </w:pPr>
            <w:r w:rsidRPr="003C5E36">
              <w:rPr>
                <w:rFonts w:hint="cs"/>
                <w:rtl/>
              </w:rPr>
              <w:t>(ג)</w:t>
            </w:r>
            <w:r w:rsidRPr="003C5E36">
              <w:rPr>
                <w:rtl/>
              </w:rPr>
              <w:tab/>
            </w:r>
            <w:r w:rsidRPr="00E460A6">
              <w:rPr>
                <w:rtl/>
              </w:rPr>
              <w:t xml:space="preserve">בבוא </w:t>
            </w:r>
            <w:r>
              <w:rPr>
                <w:rFonts w:hint="cs"/>
                <w:rtl/>
              </w:rPr>
              <w:t>הועדה</w:t>
            </w:r>
            <w:r w:rsidRPr="00E460A6">
              <w:rPr>
                <w:rtl/>
              </w:rPr>
              <w:t xml:space="preserve"> להחליט בבקשה למתן היתר לפי סעיף קטן (ב), תשקול, בין השאר, את אלה:</w:t>
            </w:r>
          </w:p>
        </w:tc>
      </w:tr>
      <w:tr w:rsidR="002F62A9" w:rsidRPr="003C5E36" w14:paraId="178C4911" w14:textId="77777777" w:rsidTr="009873CE">
        <w:tblPrEx>
          <w:tblLook w:val="01E0" w:firstRow="1" w:lastRow="1" w:firstColumn="1" w:lastColumn="1" w:noHBand="0" w:noVBand="0"/>
        </w:tblPrEx>
        <w:trPr>
          <w:cantSplit/>
        </w:trPr>
        <w:tc>
          <w:tcPr>
            <w:tcW w:w="1869" w:type="dxa"/>
          </w:tcPr>
          <w:p w14:paraId="7E712643" w14:textId="77777777" w:rsidR="002F62A9" w:rsidRPr="003C5E36" w:rsidRDefault="002F62A9" w:rsidP="00871492">
            <w:pPr>
              <w:pStyle w:val="TableSideHeading"/>
              <w:ind w:right="0"/>
            </w:pPr>
          </w:p>
        </w:tc>
        <w:tc>
          <w:tcPr>
            <w:tcW w:w="624" w:type="dxa"/>
          </w:tcPr>
          <w:p w14:paraId="55D5D0AC" w14:textId="77777777" w:rsidR="002F62A9" w:rsidRPr="003C5E36" w:rsidRDefault="002F62A9" w:rsidP="00871492">
            <w:pPr>
              <w:pStyle w:val="TableText"/>
              <w:ind w:right="0"/>
              <w:jc w:val="both"/>
            </w:pPr>
          </w:p>
        </w:tc>
        <w:tc>
          <w:tcPr>
            <w:tcW w:w="624" w:type="dxa"/>
          </w:tcPr>
          <w:p w14:paraId="06B34BE7" w14:textId="77777777" w:rsidR="002F62A9" w:rsidRPr="003C5E36" w:rsidRDefault="002F62A9" w:rsidP="00871492">
            <w:pPr>
              <w:pStyle w:val="TableText"/>
              <w:ind w:right="0"/>
              <w:jc w:val="both"/>
            </w:pPr>
          </w:p>
        </w:tc>
        <w:tc>
          <w:tcPr>
            <w:tcW w:w="624" w:type="dxa"/>
          </w:tcPr>
          <w:p w14:paraId="2773823C" w14:textId="77777777" w:rsidR="002F62A9" w:rsidRPr="003C5E36" w:rsidRDefault="002F62A9" w:rsidP="00871492">
            <w:pPr>
              <w:pStyle w:val="TableText"/>
              <w:ind w:right="0"/>
              <w:jc w:val="both"/>
            </w:pPr>
          </w:p>
        </w:tc>
        <w:tc>
          <w:tcPr>
            <w:tcW w:w="624" w:type="dxa"/>
          </w:tcPr>
          <w:p w14:paraId="1557FCCF" w14:textId="77777777" w:rsidR="002F62A9" w:rsidRPr="003C5E36" w:rsidRDefault="002F62A9" w:rsidP="00871492">
            <w:pPr>
              <w:pStyle w:val="TableText"/>
              <w:ind w:right="0"/>
              <w:jc w:val="both"/>
            </w:pPr>
          </w:p>
        </w:tc>
        <w:tc>
          <w:tcPr>
            <w:tcW w:w="624" w:type="dxa"/>
          </w:tcPr>
          <w:p w14:paraId="6B8A4FD6" w14:textId="77777777" w:rsidR="002F62A9" w:rsidRPr="003C5E36" w:rsidRDefault="002F62A9" w:rsidP="00871492">
            <w:pPr>
              <w:pStyle w:val="TableText"/>
              <w:ind w:right="0"/>
              <w:jc w:val="both"/>
            </w:pPr>
          </w:p>
        </w:tc>
        <w:tc>
          <w:tcPr>
            <w:tcW w:w="624" w:type="dxa"/>
          </w:tcPr>
          <w:p w14:paraId="3425BF40" w14:textId="77777777" w:rsidR="002F62A9" w:rsidRPr="003C5E36" w:rsidRDefault="002F62A9" w:rsidP="00871492">
            <w:pPr>
              <w:pStyle w:val="TableText"/>
              <w:ind w:right="0"/>
              <w:jc w:val="both"/>
            </w:pPr>
          </w:p>
        </w:tc>
        <w:tc>
          <w:tcPr>
            <w:tcW w:w="4024" w:type="dxa"/>
          </w:tcPr>
          <w:p w14:paraId="2726D37E" w14:textId="77777777" w:rsidR="002F62A9" w:rsidRPr="003C5E36" w:rsidRDefault="002F62A9" w:rsidP="00871492">
            <w:pPr>
              <w:pStyle w:val="TableBlock"/>
            </w:pPr>
            <w:r w:rsidRPr="003C5E36">
              <w:rPr>
                <w:rtl/>
              </w:rPr>
              <w:t>(</w:t>
            </w:r>
            <w:r w:rsidRPr="003C5E36">
              <w:rPr>
                <w:rFonts w:hint="cs"/>
                <w:rtl/>
              </w:rPr>
              <w:t>1</w:t>
            </w:r>
            <w:r w:rsidRPr="003C5E36">
              <w:rPr>
                <w:rtl/>
              </w:rPr>
              <w:t>)</w:t>
            </w:r>
            <w:r w:rsidRPr="003C5E36">
              <w:rPr>
                <w:rtl/>
              </w:rPr>
              <w:tab/>
            </w:r>
            <w:r>
              <w:rPr>
                <w:rtl/>
              </w:rPr>
              <w:t>דרגת ק</w:t>
            </w:r>
            <w:r w:rsidRPr="003C5E36">
              <w:rPr>
                <w:rtl/>
              </w:rPr>
              <w:t>רבת המשפחה</w:t>
            </w:r>
            <w:r>
              <w:rPr>
                <w:rFonts w:hint="cs"/>
                <w:rtl/>
              </w:rPr>
              <w:t>;</w:t>
            </w:r>
          </w:p>
        </w:tc>
      </w:tr>
      <w:tr w:rsidR="002F62A9" w:rsidRPr="003C5E36" w14:paraId="6BF23517" w14:textId="77777777" w:rsidTr="009873CE">
        <w:tblPrEx>
          <w:tblLook w:val="01E0" w:firstRow="1" w:lastRow="1" w:firstColumn="1" w:lastColumn="1" w:noHBand="0" w:noVBand="0"/>
        </w:tblPrEx>
        <w:trPr>
          <w:cantSplit/>
        </w:trPr>
        <w:tc>
          <w:tcPr>
            <w:tcW w:w="1869" w:type="dxa"/>
          </w:tcPr>
          <w:p w14:paraId="7BDBBECE" w14:textId="77777777" w:rsidR="002F62A9" w:rsidRPr="003C5E36" w:rsidRDefault="002F62A9" w:rsidP="00871492">
            <w:pPr>
              <w:pStyle w:val="TableSideHeading"/>
              <w:ind w:right="0"/>
            </w:pPr>
          </w:p>
        </w:tc>
        <w:tc>
          <w:tcPr>
            <w:tcW w:w="624" w:type="dxa"/>
          </w:tcPr>
          <w:p w14:paraId="3833D66E" w14:textId="77777777" w:rsidR="002F62A9" w:rsidRPr="003C5E36" w:rsidRDefault="002F62A9" w:rsidP="00871492">
            <w:pPr>
              <w:pStyle w:val="TableText"/>
              <w:ind w:right="0"/>
              <w:jc w:val="both"/>
            </w:pPr>
          </w:p>
        </w:tc>
        <w:tc>
          <w:tcPr>
            <w:tcW w:w="624" w:type="dxa"/>
          </w:tcPr>
          <w:p w14:paraId="37B5FB86" w14:textId="77777777" w:rsidR="002F62A9" w:rsidRPr="003C5E36" w:rsidRDefault="002F62A9" w:rsidP="00871492">
            <w:pPr>
              <w:pStyle w:val="TableText"/>
              <w:ind w:right="0"/>
              <w:jc w:val="both"/>
            </w:pPr>
          </w:p>
        </w:tc>
        <w:tc>
          <w:tcPr>
            <w:tcW w:w="624" w:type="dxa"/>
          </w:tcPr>
          <w:p w14:paraId="5B7F1B0B" w14:textId="77777777" w:rsidR="002F62A9" w:rsidRPr="003C5E36" w:rsidRDefault="002F62A9" w:rsidP="00871492">
            <w:pPr>
              <w:pStyle w:val="TableText"/>
              <w:ind w:right="0"/>
              <w:jc w:val="both"/>
            </w:pPr>
          </w:p>
        </w:tc>
        <w:tc>
          <w:tcPr>
            <w:tcW w:w="624" w:type="dxa"/>
          </w:tcPr>
          <w:p w14:paraId="363D6D42" w14:textId="77777777" w:rsidR="002F62A9" w:rsidRPr="003C5E36" w:rsidRDefault="002F62A9" w:rsidP="00871492">
            <w:pPr>
              <w:pStyle w:val="TableText"/>
              <w:ind w:right="0"/>
              <w:jc w:val="both"/>
            </w:pPr>
          </w:p>
        </w:tc>
        <w:tc>
          <w:tcPr>
            <w:tcW w:w="624" w:type="dxa"/>
          </w:tcPr>
          <w:p w14:paraId="6D9544E8" w14:textId="77777777" w:rsidR="002F62A9" w:rsidRPr="003C5E36" w:rsidRDefault="002F62A9" w:rsidP="00871492">
            <w:pPr>
              <w:pStyle w:val="TableText"/>
              <w:ind w:right="0"/>
              <w:jc w:val="both"/>
            </w:pPr>
          </w:p>
        </w:tc>
        <w:tc>
          <w:tcPr>
            <w:tcW w:w="624" w:type="dxa"/>
          </w:tcPr>
          <w:p w14:paraId="12816082" w14:textId="77777777" w:rsidR="002F62A9" w:rsidRPr="003C5E36" w:rsidRDefault="002F62A9" w:rsidP="00871492">
            <w:pPr>
              <w:pStyle w:val="TableText"/>
              <w:ind w:right="0"/>
              <w:jc w:val="both"/>
            </w:pPr>
          </w:p>
        </w:tc>
        <w:tc>
          <w:tcPr>
            <w:tcW w:w="4024" w:type="dxa"/>
          </w:tcPr>
          <w:p w14:paraId="0860282E" w14:textId="1875ED8B" w:rsidR="002F62A9" w:rsidRPr="003C5E36" w:rsidRDefault="002F62A9" w:rsidP="00A47D5D">
            <w:pPr>
              <w:pStyle w:val="TableBlock"/>
              <w:rPr>
                <w:rtl/>
              </w:rPr>
            </w:pPr>
            <w:r w:rsidRPr="003C5E36">
              <w:rPr>
                <w:rFonts w:hint="cs"/>
                <w:rtl/>
              </w:rPr>
              <w:t>(2)</w:t>
            </w:r>
            <w:r w:rsidRPr="003C5E36">
              <w:rPr>
                <w:rtl/>
              </w:rPr>
              <w:tab/>
              <w:t xml:space="preserve">מספר המועמדים </w:t>
            </w:r>
            <w:r w:rsidR="00A47D5D">
              <w:rPr>
                <w:rFonts w:hint="cs"/>
                <w:rtl/>
              </w:rPr>
              <w:t>ש</w:t>
            </w:r>
            <w:r w:rsidRPr="003C5E36">
              <w:rPr>
                <w:rtl/>
              </w:rPr>
              <w:t>היו למשרה</w:t>
            </w:r>
            <w:r>
              <w:rPr>
                <w:rFonts w:hint="cs"/>
                <w:rtl/>
              </w:rPr>
              <w:t>;</w:t>
            </w:r>
          </w:p>
        </w:tc>
      </w:tr>
      <w:tr w:rsidR="002F62A9" w:rsidRPr="003C5E36" w14:paraId="460D393F" w14:textId="77777777" w:rsidTr="009873CE">
        <w:tblPrEx>
          <w:tblLook w:val="01E0" w:firstRow="1" w:lastRow="1" w:firstColumn="1" w:lastColumn="1" w:noHBand="0" w:noVBand="0"/>
        </w:tblPrEx>
        <w:trPr>
          <w:cantSplit/>
        </w:trPr>
        <w:tc>
          <w:tcPr>
            <w:tcW w:w="1869" w:type="dxa"/>
          </w:tcPr>
          <w:p w14:paraId="45EB9F07" w14:textId="77777777" w:rsidR="002F62A9" w:rsidRPr="003C5E36" w:rsidRDefault="002F62A9" w:rsidP="00871492">
            <w:pPr>
              <w:pStyle w:val="TableSideHeading"/>
              <w:ind w:right="0"/>
            </w:pPr>
          </w:p>
        </w:tc>
        <w:tc>
          <w:tcPr>
            <w:tcW w:w="624" w:type="dxa"/>
          </w:tcPr>
          <w:p w14:paraId="7B40AA21" w14:textId="77777777" w:rsidR="002F62A9" w:rsidRPr="003C5E36" w:rsidRDefault="002F62A9" w:rsidP="00871492">
            <w:pPr>
              <w:pStyle w:val="TableText"/>
              <w:ind w:right="0"/>
              <w:jc w:val="both"/>
            </w:pPr>
          </w:p>
        </w:tc>
        <w:tc>
          <w:tcPr>
            <w:tcW w:w="624" w:type="dxa"/>
          </w:tcPr>
          <w:p w14:paraId="7ACBA4FA" w14:textId="77777777" w:rsidR="002F62A9" w:rsidRPr="003C5E36" w:rsidRDefault="002F62A9" w:rsidP="00871492">
            <w:pPr>
              <w:pStyle w:val="TableText"/>
              <w:ind w:right="0"/>
              <w:jc w:val="both"/>
            </w:pPr>
          </w:p>
        </w:tc>
        <w:tc>
          <w:tcPr>
            <w:tcW w:w="624" w:type="dxa"/>
          </w:tcPr>
          <w:p w14:paraId="718507B9" w14:textId="77777777" w:rsidR="002F62A9" w:rsidRPr="003C5E36" w:rsidRDefault="002F62A9" w:rsidP="00871492">
            <w:pPr>
              <w:pStyle w:val="TableText"/>
              <w:ind w:right="0"/>
              <w:jc w:val="both"/>
            </w:pPr>
          </w:p>
        </w:tc>
        <w:tc>
          <w:tcPr>
            <w:tcW w:w="624" w:type="dxa"/>
          </w:tcPr>
          <w:p w14:paraId="17863C9F" w14:textId="77777777" w:rsidR="002F62A9" w:rsidRPr="003C5E36" w:rsidRDefault="002F62A9" w:rsidP="00871492">
            <w:pPr>
              <w:pStyle w:val="TableText"/>
              <w:ind w:right="0"/>
              <w:jc w:val="both"/>
            </w:pPr>
          </w:p>
        </w:tc>
        <w:tc>
          <w:tcPr>
            <w:tcW w:w="624" w:type="dxa"/>
          </w:tcPr>
          <w:p w14:paraId="13D04F58" w14:textId="77777777" w:rsidR="002F62A9" w:rsidRPr="003C5E36" w:rsidRDefault="002F62A9" w:rsidP="00871492">
            <w:pPr>
              <w:pStyle w:val="TableText"/>
              <w:ind w:right="0"/>
              <w:jc w:val="both"/>
            </w:pPr>
          </w:p>
        </w:tc>
        <w:tc>
          <w:tcPr>
            <w:tcW w:w="624" w:type="dxa"/>
          </w:tcPr>
          <w:p w14:paraId="3980A38F" w14:textId="77777777" w:rsidR="002F62A9" w:rsidRPr="003C5E36" w:rsidRDefault="002F62A9" w:rsidP="00871492">
            <w:pPr>
              <w:pStyle w:val="TableText"/>
              <w:ind w:right="0"/>
              <w:jc w:val="both"/>
            </w:pPr>
          </w:p>
        </w:tc>
        <w:tc>
          <w:tcPr>
            <w:tcW w:w="4024" w:type="dxa"/>
          </w:tcPr>
          <w:p w14:paraId="170F6E75" w14:textId="77777777" w:rsidR="002F62A9" w:rsidRPr="003C5E36" w:rsidRDefault="002F62A9" w:rsidP="00871492">
            <w:pPr>
              <w:pStyle w:val="TableBlock"/>
              <w:rPr>
                <w:rtl/>
              </w:rPr>
            </w:pPr>
            <w:r w:rsidRPr="003C5E36">
              <w:rPr>
                <w:rFonts w:hint="cs"/>
                <w:rtl/>
              </w:rPr>
              <w:t>(3)</w:t>
            </w:r>
            <w:r w:rsidRPr="003C5E36">
              <w:rPr>
                <w:rtl/>
              </w:rPr>
              <w:tab/>
              <w:t>רמת המשרה של קרובי המשפחה</w:t>
            </w:r>
            <w:r>
              <w:rPr>
                <w:rFonts w:hint="cs"/>
                <w:rtl/>
              </w:rPr>
              <w:t>;</w:t>
            </w:r>
          </w:p>
        </w:tc>
      </w:tr>
      <w:tr w:rsidR="002F62A9" w:rsidRPr="003C5E36" w14:paraId="538E3E59" w14:textId="77777777" w:rsidTr="009873CE">
        <w:tblPrEx>
          <w:tblLook w:val="01E0" w:firstRow="1" w:lastRow="1" w:firstColumn="1" w:lastColumn="1" w:noHBand="0" w:noVBand="0"/>
        </w:tblPrEx>
        <w:trPr>
          <w:cantSplit/>
        </w:trPr>
        <w:tc>
          <w:tcPr>
            <w:tcW w:w="1869" w:type="dxa"/>
          </w:tcPr>
          <w:p w14:paraId="045A0F51" w14:textId="77777777" w:rsidR="002F62A9" w:rsidRPr="003C5E36" w:rsidRDefault="002F62A9" w:rsidP="00871492">
            <w:pPr>
              <w:pStyle w:val="TableSideHeading"/>
              <w:ind w:right="0"/>
            </w:pPr>
          </w:p>
        </w:tc>
        <w:tc>
          <w:tcPr>
            <w:tcW w:w="624" w:type="dxa"/>
          </w:tcPr>
          <w:p w14:paraId="0E0A3959" w14:textId="77777777" w:rsidR="002F62A9" w:rsidRPr="003C5E36" w:rsidRDefault="002F62A9" w:rsidP="00871492">
            <w:pPr>
              <w:pStyle w:val="TableText"/>
              <w:ind w:right="0"/>
              <w:jc w:val="both"/>
            </w:pPr>
          </w:p>
        </w:tc>
        <w:tc>
          <w:tcPr>
            <w:tcW w:w="624" w:type="dxa"/>
          </w:tcPr>
          <w:p w14:paraId="3946B12C" w14:textId="77777777" w:rsidR="002F62A9" w:rsidRPr="003C5E36" w:rsidRDefault="002F62A9" w:rsidP="00871492">
            <w:pPr>
              <w:pStyle w:val="TableText"/>
              <w:ind w:right="0"/>
              <w:jc w:val="both"/>
            </w:pPr>
          </w:p>
        </w:tc>
        <w:tc>
          <w:tcPr>
            <w:tcW w:w="624" w:type="dxa"/>
          </w:tcPr>
          <w:p w14:paraId="6807B468" w14:textId="77777777" w:rsidR="002F62A9" w:rsidRPr="003C5E36" w:rsidRDefault="002F62A9" w:rsidP="00871492">
            <w:pPr>
              <w:pStyle w:val="TableText"/>
              <w:ind w:right="0"/>
              <w:jc w:val="both"/>
            </w:pPr>
          </w:p>
        </w:tc>
        <w:tc>
          <w:tcPr>
            <w:tcW w:w="624" w:type="dxa"/>
          </w:tcPr>
          <w:p w14:paraId="0AA0E84E" w14:textId="77777777" w:rsidR="002F62A9" w:rsidRPr="003C5E36" w:rsidRDefault="002F62A9" w:rsidP="00871492">
            <w:pPr>
              <w:pStyle w:val="TableText"/>
              <w:ind w:right="0"/>
              <w:jc w:val="both"/>
            </w:pPr>
          </w:p>
        </w:tc>
        <w:tc>
          <w:tcPr>
            <w:tcW w:w="624" w:type="dxa"/>
          </w:tcPr>
          <w:p w14:paraId="59FCA8BD" w14:textId="77777777" w:rsidR="002F62A9" w:rsidRPr="003C5E36" w:rsidRDefault="002F62A9" w:rsidP="00871492">
            <w:pPr>
              <w:pStyle w:val="TableText"/>
              <w:ind w:right="0"/>
              <w:jc w:val="both"/>
            </w:pPr>
          </w:p>
        </w:tc>
        <w:tc>
          <w:tcPr>
            <w:tcW w:w="624" w:type="dxa"/>
          </w:tcPr>
          <w:p w14:paraId="4CE24189" w14:textId="77777777" w:rsidR="002F62A9" w:rsidRPr="003C5E36" w:rsidRDefault="002F62A9" w:rsidP="00871492">
            <w:pPr>
              <w:pStyle w:val="TableText"/>
              <w:ind w:right="0"/>
              <w:jc w:val="both"/>
            </w:pPr>
          </w:p>
        </w:tc>
        <w:tc>
          <w:tcPr>
            <w:tcW w:w="4024" w:type="dxa"/>
          </w:tcPr>
          <w:p w14:paraId="1EF90DAC" w14:textId="0A1F496E" w:rsidR="002F62A9" w:rsidRPr="003C5E36" w:rsidRDefault="002F62A9" w:rsidP="00871492">
            <w:pPr>
              <w:pStyle w:val="TableBlock"/>
              <w:rPr>
                <w:rtl/>
              </w:rPr>
            </w:pPr>
            <w:r w:rsidRPr="003C5E36">
              <w:rPr>
                <w:rFonts w:hint="cs"/>
                <w:rtl/>
              </w:rPr>
              <w:t>(4)</w:t>
            </w:r>
            <w:r w:rsidRPr="003C5E36">
              <w:rPr>
                <w:rtl/>
              </w:rPr>
              <w:tab/>
            </w:r>
            <w:r>
              <w:rPr>
                <w:rFonts w:hint="cs"/>
                <w:rtl/>
              </w:rPr>
              <w:t>מקום</w:t>
            </w:r>
            <w:r w:rsidR="00A47D5D">
              <w:rPr>
                <w:rtl/>
              </w:rPr>
              <w:t xml:space="preserve"> ג</w:t>
            </w:r>
            <w:r w:rsidRPr="003C5E36">
              <w:rPr>
                <w:rtl/>
              </w:rPr>
              <w:t>אוגרפי של המשרות</w:t>
            </w:r>
            <w:r>
              <w:rPr>
                <w:rFonts w:hint="cs"/>
                <w:rtl/>
              </w:rPr>
              <w:t>;</w:t>
            </w:r>
          </w:p>
        </w:tc>
      </w:tr>
      <w:tr w:rsidR="002F62A9" w:rsidRPr="003C5E36" w14:paraId="6262AF0E" w14:textId="77777777" w:rsidTr="009873CE">
        <w:tblPrEx>
          <w:tblLook w:val="01E0" w:firstRow="1" w:lastRow="1" w:firstColumn="1" w:lastColumn="1" w:noHBand="0" w:noVBand="0"/>
        </w:tblPrEx>
        <w:trPr>
          <w:cantSplit/>
        </w:trPr>
        <w:tc>
          <w:tcPr>
            <w:tcW w:w="1869" w:type="dxa"/>
          </w:tcPr>
          <w:p w14:paraId="12FAC562" w14:textId="77777777" w:rsidR="002F62A9" w:rsidRPr="003C5E36" w:rsidRDefault="002F62A9" w:rsidP="00871492">
            <w:pPr>
              <w:pStyle w:val="TableSideHeading"/>
              <w:ind w:right="0"/>
            </w:pPr>
          </w:p>
        </w:tc>
        <w:tc>
          <w:tcPr>
            <w:tcW w:w="624" w:type="dxa"/>
          </w:tcPr>
          <w:p w14:paraId="39730D67" w14:textId="77777777" w:rsidR="002F62A9" w:rsidRPr="003C5E36" w:rsidRDefault="002F62A9" w:rsidP="00871492">
            <w:pPr>
              <w:pStyle w:val="TableText"/>
              <w:ind w:right="0"/>
              <w:jc w:val="both"/>
            </w:pPr>
          </w:p>
        </w:tc>
        <w:tc>
          <w:tcPr>
            <w:tcW w:w="624" w:type="dxa"/>
          </w:tcPr>
          <w:p w14:paraId="0DD6093B" w14:textId="77777777" w:rsidR="002F62A9" w:rsidRPr="003C5E36" w:rsidRDefault="002F62A9" w:rsidP="00871492">
            <w:pPr>
              <w:pStyle w:val="TableText"/>
              <w:ind w:right="0"/>
              <w:jc w:val="both"/>
            </w:pPr>
          </w:p>
        </w:tc>
        <w:tc>
          <w:tcPr>
            <w:tcW w:w="624" w:type="dxa"/>
          </w:tcPr>
          <w:p w14:paraId="672CC39E" w14:textId="77777777" w:rsidR="002F62A9" w:rsidRPr="003C5E36" w:rsidRDefault="002F62A9" w:rsidP="00871492">
            <w:pPr>
              <w:pStyle w:val="TableText"/>
              <w:ind w:right="0"/>
              <w:jc w:val="both"/>
            </w:pPr>
          </w:p>
        </w:tc>
        <w:tc>
          <w:tcPr>
            <w:tcW w:w="624" w:type="dxa"/>
          </w:tcPr>
          <w:p w14:paraId="3B598487" w14:textId="77777777" w:rsidR="002F62A9" w:rsidRPr="003C5E36" w:rsidRDefault="002F62A9" w:rsidP="00871492">
            <w:pPr>
              <w:pStyle w:val="TableText"/>
              <w:ind w:right="0"/>
              <w:jc w:val="both"/>
            </w:pPr>
          </w:p>
        </w:tc>
        <w:tc>
          <w:tcPr>
            <w:tcW w:w="624" w:type="dxa"/>
          </w:tcPr>
          <w:p w14:paraId="743DF9BE" w14:textId="77777777" w:rsidR="002F62A9" w:rsidRPr="003C5E36" w:rsidRDefault="002F62A9" w:rsidP="00871492">
            <w:pPr>
              <w:pStyle w:val="TableText"/>
              <w:ind w:right="0"/>
              <w:jc w:val="both"/>
            </w:pPr>
          </w:p>
        </w:tc>
        <w:tc>
          <w:tcPr>
            <w:tcW w:w="624" w:type="dxa"/>
          </w:tcPr>
          <w:p w14:paraId="08A2F1E7" w14:textId="77777777" w:rsidR="002F62A9" w:rsidRPr="003C5E36" w:rsidRDefault="002F62A9" w:rsidP="00871492">
            <w:pPr>
              <w:pStyle w:val="TableText"/>
              <w:ind w:right="0"/>
              <w:jc w:val="both"/>
            </w:pPr>
          </w:p>
        </w:tc>
        <w:tc>
          <w:tcPr>
            <w:tcW w:w="4024" w:type="dxa"/>
          </w:tcPr>
          <w:p w14:paraId="6E26D267" w14:textId="77777777" w:rsidR="002F62A9" w:rsidRPr="003C5E36" w:rsidRDefault="002F62A9" w:rsidP="00871492">
            <w:pPr>
              <w:pStyle w:val="TableBlock"/>
              <w:rPr>
                <w:rtl/>
              </w:rPr>
            </w:pPr>
            <w:r w:rsidRPr="003C5E36">
              <w:rPr>
                <w:rFonts w:hint="cs"/>
                <w:rtl/>
              </w:rPr>
              <w:t>(5)</w:t>
            </w:r>
            <w:r w:rsidRPr="003C5E36">
              <w:rPr>
                <w:rtl/>
              </w:rPr>
              <w:tab/>
              <w:t xml:space="preserve">מספר קרובי המשפחה </w:t>
            </w:r>
            <w:r w:rsidRPr="003C5E36">
              <w:rPr>
                <w:rFonts w:hint="cs"/>
                <w:rtl/>
              </w:rPr>
              <w:t>המכהנים כשופטים</w:t>
            </w:r>
            <w:r>
              <w:rPr>
                <w:rFonts w:hint="cs"/>
                <w:rtl/>
              </w:rPr>
              <w:t>;</w:t>
            </w:r>
            <w:r w:rsidRPr="003C5E36">
              <w:rPr>
                <w:rtl/>
              </w:rPr>
              <w:tab/>
            </w:r>
          </w:p>
        </w:tc>
      </w:tr>
      <w:tr w:rsidR="002F62A9" w:rsidRPr="003C5E36" w14:paraId="58BE5C63" w14:textId="77777777" w:rsidTr="009873CE">
        <w:tblPrEx>
          <w:tblLook w:val="01E0" w:firstRow="1" w:lastRow="1" w:firstColumn="1" w:lastColumn="1" w:noHBand="0" w:noVBand="0"/>
        </w:tblPrEx>
        <w:trPr>
          <w:cantSplit/>
        </w:trPr>
        <w:tc>
          <w:tcPr>
            <w:tcW w:w="1869" w:type="dxa"/>
          </w:tcPr>
          <w:p w14:paraId="7EE28CD1" w14:textId="77777777" w:rsidR="002F62A9" w:rsidRPr="003C5E36" w:rsidRDefault="002F62A9" w:rsidP="00871492">
            <w:pPr>
              <w:pStyle w:val="TableSideHeading"/>
              <w:ind w:right="0"/>
            </w:pPr>
          </w:p>
        </w:tc>
        <w:tc>
          <w:tcPr>
            <w:tcW w:w="624" w:type="dxa"/>
          </w:tcPr>
          <w:p w14:paraId="54411ADF" w14:textId="77777777" w:rsidR="002F62A9" w:rsidRPr="003C5E36" w:rsidRDefault="002F62A9" w:rsidP="00871492">
            <w:pPr>
              <w:pStyle w:val="TableText"/>
              <w:ind w:right="0"/>
              <w:jc w:val="both"/>
            </w:pPr>
          </w:p>
        </w:tc>
        <w:tc>
          <w:tcPr>
            <w:tcW w:w="624" w:type="dxa"/>
          </w:tcPr>
          <w:p w14:paraId="60B0BB0C" w14:textId="77777777" w:rsidR="002F62A9" w:rsidRPr="003C5E36" w:rsidRDefault="002F62A9" w:rsidP="00871492">
            <w:pPr>
              <w:pStyle w:val="TableText"/>
              <w:ind w:right="0"/>
              <w:jc w:val="both"/>
            </w:pPr>
          </w:p>
        </w:tc>
        <w:tc>
          <w:tcPr>
            <w:tcW w:w="624" w:type="dxa"/>
          </w:tcPr>
          <w:p w14:paraId="7704939F" w14:textId="77777777" w:rsidR="002F62A9" w:rsidRPr="003C5E36" w:rsidRDefault="002F62A9" w:rsidP="00871492">
            <w:pPr>
              <w:pStyle w:val="TableText"/>
              <w:ind w:right="0"/>
              <w:jc w:val="both"/>
            </w:pPr>
          </w:p>
        </w:tc>
        <w:tc>
          <w:tcPr>
            <w:tcW w:w="624" w:type="dxa"/>
          </w:tcPr>
          <w:p w14:paraId="05A039EB" w14:textId="77777777" w:rsidR="002F62A9" w:rsidRPr="003C5E36" w:rsidRDefault="002F62A9" w:rsidP="00871492">
            <w:pPr>
              <w:pStyle w:val="TableText"/>
              <w:ind w:right="0"/>
              <w:jc w:val="both"/>
            </w:pPr>
          </w:p>
        </w:tc>
        <w:tc>
          <w:tcPr>
            <w:tcW w:w="624" w:type="dxa"/>
          </w:tcPr>
          <w:p w14:paraId="6EDAA949" w14:textId="77777777" w:rsidR="002F62A9" w:rsidRPr="003C5E36" w:rsidRDefault="002F62A9" w:rsidP="00871492">
            <w:pPr>
              <w:pStyle w:val="TableText"/>
              <w:ind w:right="0"/>
              <w:jc w:val="both"/>
            </w:pPr>
          </w:p>
        </w:tc>
        <w:tc>
          <w:tcPr>
            <w:tcW w:w="624" w:type="dxa"/>
          </w:tcPr>
          <w:p w14:paraId="559D4935" w14:textId="77777777" w:rsidR="002F62A9" w:rsidRPr="003C5E36" w:rsidRDefault="002F62A9" w:rsidP="00871492">
            <w:pPr>
              <w:pStyle w:val="TableText"/>
              <w:ind w:right="0"/>
              <w:jc w:val="both"/>
            </w:pPr>
          </w:p>
        </w:tc>
        <w:tc>
          <w:tcPr>
            <w:tcW w:w="4024" w:type="dxa"/>
          </w:tcPr>
          <w:p w14:paraId="0E0E617B" w14:textId="31F4DDC7" w:rsidR="002F62A9" w:rsidRPr="003C5E36" w:rsidRDefault="002F62A9" w:rsidP="00871492">
            <w:pPr>
              <w:pStyle w:val="TableBlock"/>
              <w:rPr>
                <w:rtl/>
              </w:rPr>
            </w:pPr>
            <w:r w:rsidRPr="003C5E36">
              <w:rPr>
                <w:rFonts w:hint="cs"/>
                <w:rtl/>
              </w:rPr>
              <w:t>(6)</w:t>
            </w:r>
            <w:r w:rsidRPr="003C5E36">
              <w:rPr>
                <w:rtl/>
              </w:rPr>
              <w:tab/>
            </w:r>
            <w:r w:rsidRPr="008628E2">
              <w:rPr>
                <w:rtl/>
              </w:rPr>
              <w:t>האפשרות למנוע את יחסי הכפיפות, קשרי העבודה וניגוד העניינים בין קרובי המשפ</w:t>
            </w:r>
            <w:r>
              <w:rPr>
                <w:rtl/>
              </w:rPr>
              <w:t>חה, בלי לרוקן מתוכן את משרותיהם</w:t>
            </w:r>
            <w:r w:rsidR="00A47D5D">
              <w:rPr>
                <w:rFonts w:hint="cs"/>
                <w:rtl/>
              </w:rPr>
              <w:t>."</w:t>
            </w:r>
          </w:p>
        </w:tc>
      </w:tr>
    </w:tbl>
    <w:p w14:paraId="19EB1E5B" w14:textId="77777777" w:rsidR="002F62A9" w:rsidRPr="00F41477" w:rsidRDefault="002F62A9" w:rsidP="002F62A9">
      <w:pPr>
        <w:pStyle w:val="HeadDivreiHesber"/>
        <w:rPr>
          <w:rtl/>
        </w:rPr>
      </w:pPr>
      <w:r w:rsidRPr="00F41477">
        <w:rPr>
          <w:rFonts w:hint="cs"/>
          <w:rtl/>
        </w:rPr>
        <w:t>דברי הסבר</w:t>
      </w:r>
    </w:p>
    <w:p w14:paraId="6BF83B1C" w14:textId="1F414D86" w:rsidR="002F62A9" w:rsidRPr="003C5E36" w:rsidRDefault="002F62A9" w:rsidP="009E72C9">
      <w:pPr>
        <w:pStyle w:val="Hesber"/>
        <w:rPr>
          <w:rtl/>
        </w:rPr>
      </w:pPr>
      <w:r w:rsidRPr="003C5E36">
        <w:rPr>
          <w:rFonts w:hint="cs"/>
          <w:rtl/>
        </w:rPr>
        <w:t xml:space="preserve">הצעת חוק זו מונחת על שולחן הכנסת </w:t>
      </w:r>
      <w:r w:rsidR="00556587">
        <w:rPr>
          <w:rFonts w:hint="cs"/>
          <w:rtl/>
        </w:rPr>
        <w:t>במקביל</w:t>
      </w:r>
      <w:r w:rsidRPr="003C5E36">
        <w:rPr>
          <w:rFonts w:hint="cs"/>
          <w:rtl/>
        </w:rPr>
        <w:t xml:space="preserve"> </w:t>
      </w:r>
      <w:r w:rsidR="00556587">
        <w:rPr>
          <w:rFonts w:hint="cs"/>
          <w:rtl/>
        </w:rPr>
        <w:t>ל</w:t>
      </w:r>
      <w:r w:rsidRPr="003C5E36">
        <w:rPr>
          <w:rFonts w:hint="cs"/>
          <w:rtl/>
        </w:rPr>
        <w:t>ה</w:t>
      </w:r>
      <w:r w:rsidRPr="009E72C9">
        <w:rPr>
          <w:rFonts w:hint="cs"/>
          <w:rtl/>
        </w:rPr>
        <w:t xml:space="preserve">צעה </w:t>
      </w:r>
      <w:r w:rsidR="009E72C9" w:rsidRPr="009E72C9">
        <w:rPr>
          <w:rFonts w:hint="cs"/>
          <w:rtl/>
        </w:rPr>
        <w:t>(פ/2900/20</w:t>
      </w:r>
      <w:r w:rsidR="00F900C4" w:rsidRPr="009E72C9">
        <w:rPr>
          <w:rFonts w:hint="cs"/>
          <w:rtl/>
        </w:rPr>
        <w:t>)</w:t>
      </w:r>
      <w:r w:rsidR="00556587" w:rsidRPr="009E72C9">
        <w:rPr>
          <w:rFonts w:hint="cs"/>
          <w:rtl/>
        </w:rPr>
        <w:t xml:space="preserve"> המסדיר</w:t>
      </w:r>
      <w:r w:rsidR="00A47D5D" w:rsidRPr="009E72C9">
        <w:rPr>
          <w:rFonts w:hint="cs"/>
          <w:rtl/>
        </w:rPr>
        <w:t>ה</w:t>
      </w:r>
      <w:r w:rsidRPr="009E72C9">
        <w:rPr>
          <w:rFonts w:hint="cs"/>
          <w:rtl/>
        </w:rPr>
        <w:t xml:space="preserve"> את מינויו של מועמד לתפקיד דיין בבית דין רבני. שתי הצעות החוק מוגשות יחד ותוכנן זהה כמעט לחלוטי</w:t>
      </w:r>
      <w:r w:rsidRPr="003C5E36">
        <w:rPr>
          <w:rFonts w:hint="cs"/>
          <w:rtl/>
        </w:rPr>
        <w:t xml:space="preserve">ן, כל זאת כדי ליצור שוויון מוחלט בהליך בחירת המועמדים לתפקיד שיפוטי בישראל. </w:t>
      </w:r>
    </w:p>
    <w:p w14:paraId="2D0087E6" w14:textId="77777777" w:rsidR="002F62A9" w:rsidRPr="003C5E36" w:rsidRDefault="002F62A9" w:rsidP="002F62A9">
      <w:pPr>
        <w:pStyle w:val="Hesber"/>
        <w:rPr>
          <w:rtl/>
        </w:rPr>
      </w:pPr>
      <w:r w:rsidRPr="003C5E36">
        <w:rPr>
          <w:rtl/>
        </w:rPr>
        <w:t>מאז ומעולם הייתה תופעת הנפוטיזם רווחת בעולם הפוליטי ובעמדות הכוח השונות. כך יכלו בעלי השררה לקדם את המקורבים אליהם, להציבם במשרות נחשקות ואף לקרבם לעמדות הכוח בעצמם. בשנים האחרונות הולכת וגוברת במדינת ישראל המגמה להימנע ממינוי קרובי משפחה במסגרות ממלכתיות שונות. כך למשל, מוטלות בתקנות מגבלות חמורות על העסקת קרובי משפחה בחברות ממשלתיות. גם במסגרת הפקידות הממשלתית קיימות מגבלות ממשיות על העסקת קרובי משפחה באותה מערכת</w:t>
      </w:r>
      <w:r w:rsidRPr="003C5E36">
        <w:rPr>
          <w:rFonts w:hint="cs"/>
          <w:rtl/>
        </w:rPr>
        <w:t>.</w:t>
      </w:r>
    </w:p>
    <w:p w14:paraId="086A5D99" w14:textId="0F0DC043" w:rsidR="002F62A9" w:rsidRPr="003C5E36" w:rsidRDefault="002F62A9" w:rsidP="002F62A9">
      <w:pPr>
        <w:pStyle w:val="Hesber"/>
        <w:rPr>
          <w:rtl/>
        </w:rPr>
      </w:pPr>
      <w:r w:rsidRPr="003C5E36">
        <w:rPr>
          <w:rFonts w:hint="cs"/>
          <w:rtl/>
        </w:rPr>
        <w:t xml:space="preserve">כיום, </w:t>
      </w:r>
      <w:r w:rsidRPr="003C5E36">
        <w:rPr>
          <w:rtl/>
        </w:rPr>
        <w:t>החוק בישראל מטיל הגבלות מסוימות כדי למנוע חוסר כשרות במינויים</w:t>
      </w:r>
      <w:r w:rsidRPr="003C5E36">
        <w:rPr>
          <w:rFonts w:hint="cs"/>
          <w:rtl/>
        </w:rPr>
        <w:t xml:space="preserve"> למשרות ציבוריות.</w:t>
      </w:r>
      <w:r w:rsidRPr="003C5E36">
        <w:rPr>
          <w:rtl/>
        </w:rPr>
        <w:t xml:space="preserve"> א</w:t>
      </w:r>
      <w:r w:rsidRPr="003C5E36">
        <w:rPr>
          <w:rFonts w:hint="cs"/>
          <w:rtl/>
        </w:rPr>
        <w:t>ולם נראה כי</w:t>
      </w:r>
      <w:r w:rsidR="00A47D5D">
        <w:rPr>
          <w:rtl/>
        </w:rPr>
        <w:t xml:space="preserve"> בפועל</w:t>
      </w:r>
      <w:r w:rsidRPr="003C5E36">
        <w:rPr>
          <w:rtl/>
        </w:rPr>
        <w:t xml:space="preserve"> </w:t>
      </w:r>
      <w:r w:rsidRPr="003C5E36">
        <w:rPr>
          <w:rFonts w:hint="cs"/>
          <w:rtl/>
        </w:rPr>
        <w:t xml:space="preserve">ישנם </w:t>
      </w:r>
      <w:r w:rsidRPr="003C5E36">
        <w:rPr>
          <w:rtl/>
        </w:rPr>
        <w:t>מינויים</w:t>
      </w:r>
      <w:r w:rsidRPr="003C5E36">
        <w:rPr>
          <w:rFonts w:hint="cs"/>
          <w:rtl/>
        </w:rPr>
        <w:t xml:space="preserve"> רבים</w:t>
      </w:r>
      <w:r w:rsidRPr="003C5E36">
        <w:rPr>
          <w:rtl/>
        </w:rPr>
        <w:t xml:space="preserve"> של קרובי משפחה המטילים </w:t>
      </w:r>
      <w:r w:rsidRPr="003C5E36">
        <w:rPr>
          <w:rFonts w:hint="cs"/>
          <w:rtl/>
        </w:rPr>
        <w:t xml:space="preserve">דופי </w:t>
      </w:r>
      <w:r w:rsidRPr="003C5E36">
        <w:rPr>
          <w:rtl/>
        </w:rPr>
        <w:t>בכשרות המועמדים</w:t>
      </w:r>
      <w:r w:rsidRPr="003C5E36">
        <w:rPr>
          <w:rFonts w:hint="cs"/>
          <w:rtl/>
        </w:rPr>
        <w:t xml:space="preserve"> ופוגעים באמונו של הציבור</w:t>
      </w:r>
      <w:r w:rsidRPr="003C5E36">
        <w:rPr>
          <w:rtl/>
        </w:rPr>
        <w:t xml:space="preserve">. </w:t>
      </w:r>
    </w:p>
    <w:p w14:paraId="73955E4B" w14:textId="77777777" w:rsidR="002F62A9" w:rsidRPr="003C5E36" w:rsidRDefault="002F62A9" w:rsidP="002F62A9">
      <w:pPr>
        <w:pStyle w:val="Hesber"/>
        <w:rPr>
          <w:rtl/>
        </w:rPr>
      </w:pPr>
      <w:r w:rsidRPr="003C5E36">
        <w:rPr>
          <w:rFonts w:hint="cs"/>
          <w:rtl/>
        </w:rPr>
        <w:t xml:space="preserve">מטרת הצעת החוק היא למנוע מינוי של מועמדים לתפקידים שיפוטיים, אשר יש להם קרבה משפחתית כלשהי לשופטים במערכת בתי המשפט או בוועדה האמונה על מינוי השופטים. שופטים </w:t>
      </w:r>
      <w:r w:rsidRPr="003C5E36">
        <w:rPr>
          <w:rFonts w:hint="cs"/>
          <w:rtl/>
        </w:rPr>
        <w:lastRenderedPageBreak/>
        <w:t xml:space="preserve">ודיינים נושאים על כתפיהם אחריות גדולה וכבדה בכל הנוגע לעיצוב הנורמות בחברה ואמון הציבור נתון בידיהם. </w:t>
      </w:r>
    </w:p>
    <w:p w14:paraId="0368C465" w14:textId="26BC942A" w:rsidR="00626B8E" w:rsidRDefault="002F62A9" w:rsidP="00A47D5D">
      <w:pPr>
        <w:pStyle w:val="Hesber"/>
        <w:rPr>
          <w:rtl/>
        </w:rPr>
      </w:pPr>
      <w:r w:rsidRPr="003C5E36">
        <w:rPr>
          <w:rFonts w:hint="cs"/>
          <w:rtl/>
        </w:rPr>
        <w:t xml:space="preserve">הצעת החוק מקישה מן המנגנון הקיים בתקנון שירות המדינה ומחילה הסדר דומה על מינוי שופטים בפרט. מנגנון זה נועד למנוע אפשרות של מינוי מקורבים במערכת בתי המשפט. לצד זה, המנגנון מותיר לוועדה שיקול דעת לאשר מינויים של מועמדים ראויים ומוערכים </w:t>
      </w:r>
      <w:r w:rsidR="00A47D5D">
        <w:rPr>
          <w:rFonts w:hint="cs"/>
          <w:rtl/>
        </w:rPr>
        <w:t>שהם</w:t>
      </w:r>
      <w:r w:rsidRPr="003C5E36">
        <w:rPr>
          <w:rFonts w:hint="cs"/>
          <w:rtl/>
        </w:rPr>
        <w:t xml:space="preserve"> בני משפחה של שופטים מכהנים או של חברי הוועדה, מטעמים מיוחדים ובה</w:t>
      </w:r>
      <w:r w:rsidR="00A47D5D">
        <w:rPr>
          <w:rFonts w:hint="cs"/>
          <w:rtl/>
        </w:rPr>
        <w:t xml:space="preserve">תחשב בשיקולים המפורטים בתיקון. </w:t>
      </w:r>
      <w:r w:rsidRPr="003C5E36">
        <w:rPr>
          <w:rFonts w:hint="cs"/>
          <w:rtl/>
        </w:rPr>
        <w:t>כך נשמר האיזון בין מינהל תקין ושמירה על אמון הציבור ואמות מידה גבוהות במערכת המשפט, לבין חופש העיסוק של דיינים ושופטים.</w:t>
      </w:r>
    </w:p>
    <w:p w14:paraId="09F3195D" w14:textId="22425086" w:rsidR="009E72C9" w:rsidRDefault="009E72C9" w:rsidP="00A47D5D">
      <w:pPr>
        <w:pStyle w:val="Hesber"/>
        <w:rPr>
          <w:rtl/>
        </w:rPr>
      </w:pPr>
    </w:p>
    <w:p w14:paraId="5009C7C9" w14:textId="77777777" w:rsidR="009E72C9" w:rsidRDefault="009E72C9" w:rsidP="00A47D5D">
      <w:pPr>
        <w:pStyle w:val="Hesber"/>
        <w:rPr>
          <w:rtl/>
        </w:rPr>
      </w:pPr>
    </w:p>
    <w:p w14:paraId="571B07BA" w14:textId="77777777" w:rsidR="009E72C9" w:rsidRPr="00557D2C" w:rsidRDefault="009E72C9" w:rsidP="007D273A">
      <w:pPr>
        <w:pStyle w:val="Hesber"/>
        <w:rPr>
          <w:rtl/>
        </w:rPr>
      </w:pPr>
      <w:r w:rsidRPr="00557D2C">
        <w:rPr>
          <w:rtl/>
        </w:rPr>
        <w:t>---------------------------------</w:t>
      </w:r>
    </w:p>
    <w:p w14:paraId="4304441C" w14:textId="77777777" w:rsidR="009E72C9" w:rsidRPr="00557D2C" w:rsidRDefault="009E72C9" w:rsidP="007D273A">
      <w:pPr>
        <w:pStyle w:val="Hesber"/>
        <w:rPr>
          <w:rtl/>
        </w:rPr>
      </w:pPr>
      <w:r w:rsidRPr="00557D2C">
        <w:rPr>
          <w:rtl/>
        </w:rPr>
        <w:t>הוגשה ליו"ר הכנסת והסגנים</w:t>
      </w:r>
    </w:p>
    <w:p w14:paraId="15B5C256" w14:textId="77777777" w:rsidR="009E72C9" w:rsidRPr="00557D2C" w:rsidRDefault="009E72C9" w:rsidP="007D273A">
      <w:pPr>
        <w:pStyle w:val="Hesber"/>
        <w:rPr>
          <w:rtl/>
        </w:rPr>
      </w:pPr>
      <w:r w:rsidRPr="00557D2C">
        <w:rPr>
          <w:rtl/>
        </w:rPr>
        <w:t>והונחה על שולחן הכנסת ביום</w:t>
      </w:r>
    </w:p>
    <w:p w14:paraId="2B6966AB" w14:textId="3C0E58D7" w:rsidR="009E72C9" w:rsidRPr="002F62A9" w:rsidRDefault="009E72C9" w:rsidP="009E72C9">
      <w:pPr>
        <w:pStyle w:val="Hesber"/>
        <w:rPr>
          <w:rtl/>
        </w:rPr>
      </w:pPr>
      <w:r>
        <w:rPr>
          <w:rFonts w:hint="cs"/>
          <w:rtl/>
        </w:rPr>
        <w:t>כ' באדר ב' התשע"ו</w:t>
      </w:r>
      <w:r w:rsidRPr="00557D2C">
        <w:rPr>
          <w:rFonts w:hint="cs"/>
          <w:rtl/>
        </w:rPr>
        <w:t xml:space="preserve"> </w:t>
      </w:r>
      <w:r w:rsidRPr="00557D2C">
        <w:rPr>
          <w:rtl/>
        </w:rPr>
        <w:t>–</w:t>
      </w:r>
      <w:r>
        <w:rPr>
          <w:rFonts w:hint="cs"/>
          <w:rtl/>
        </w:rPr>
        <w:t xml:space="preserve"> 30.3.16</w:t>
      </w:r>
      <w:bookmarkStart w:id="8" w:name="_GoBack"/>
      <w:bookmarkEnd w:id="8"/>
    </w:p>
    <w:sectPr w:rsidR="009E72C9" w:rsidRPr="002F62A9" w:rsidSect="009E72C9">
      <w:footerReference w:type="even" r:id="rId11"/>
      <w:footerReference w:type="default" r:id="rId12"/>
      <w:pgSz w:w="11907" w:h="16840" w:code="9"/>
      <w:pgMar w:top="1134" w:right="1134" w:bottom="851"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E953D1">
      <w:rPr>
        <w:rStyle w:val="aa"/>
        <w:noProof/>
        <w:rtl/>
      </w:rPr>
      <w:t>3</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3073F4E5" w14:textId="77777777" w:rsidR="002F62A9" w:rsidRDefault="002F62A9" w:rsidP="002F62A9">
      <w:pPr>
        <w:pStyle w:val="a4"/>
        <w:rPr>
          <w:rtl/>
        </w:rPr>
      </w:pPr>
      <w:r>
        <w:rPr>
          <w:rStyle w:val="a5"/>
        </w:rPr>
        <w:footnoteRef/>
      </w:r>
      <w:r>
        <w:rPr>
          <w:rtl/>
        </w:rPr>
        <w:t xml:space="preserve"> </w:t>
      </w:r>
      <w:r w:rsidRPr="003C5E36">
        <w:rPr>
          <w:rtl/>
        </w:rPr>
        <w:t>ס"ח התשמ"ד, עמ' 198</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547CA"/>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B0C95"/>
    <w:rsid w:val="002C2E29"/>
    <w:rsid w:val="002C3041"/>
    <w:rsid w:val="002D1EE3"/>
    <w:rsid w:val="002F1D80"/>
    <w:rsid w:val="002F62A9"/>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56587"/>
    <w:rsid w:val="00562A66"/>
    <w:rsid w:val="005B064E"/>
    <w:rsid w:val="005D51AE"/>
    <w:rsid w:val="0062674B"/>
    <w:rsid w:val="00626B8E"/>
    <w:rsid w:val="006363B2"/>
    <w:rsid w:val="00644940"/>
    <w:rsid w:val="006818A9"/>
    <w:rsid w:val="006A2D81"/>
    <w:rsid w:val="006C1D0D"/>
    <w:rsid w:val="0070601E"/>
    <w:rsid w:val="00712C72"/>
    <w:rsid w:val="00735FE9"/>
    <w:rsid w:val="007508D8"/>
    <w:rsid w:val="00763CAA"/>
    <w:rsid w:val="00765F66"/>
    <w:rsid w:val="0078664F"/>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B4872"/>
    <w:rsid w:val="008C2DDC"/>
    <w:rsid w:val="008C7516"/>
    <w:rsid w:val="008D743D"/>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873CE"/>
    <w:rsid w:val="009A0DB8"/>
    <w:rsid w:val="009A7257"/>
    <w:rsid w:val="009D6E0A"/>
    <w:rsid w:val="009E1E33"/>
    <w:rsid w:val="009E72C9"/>
    <w:rsid w:val="00A14672"/>
    <w:rsid w:val="00A26BD6"/>
    <w:rsid w:val="00A443CF"/>
    <w:rsid w:val="00A47D5D"/>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B0763"/>
    <w:rsid w:val="00BC45FB"/>
    <w:rsid w:val="00BF148D"/>
    <w:rsid w:val="00C23B1A"/>
    <w:rsid w:val="00C310EB"/>
    <w:rsid w:val="00C9176A"/>
    <w:rsid w:val="00CF1AA2"/>
    <w:rsid w:val="00D17774"/>
    <w:rsid w:val="00D63620"/>
    <w:rsid w:val="00D8410D"/>
    <w:rsid w:val="00D867D7"/>
    <w:rsid w:val="00DB7060"/>
    <w:rsid w:val="00DE3153"/>
    <w:rsid w:val="00E06736"/>
    <w:rsid w:val="00E13C27"/>
    <w:rsid w:val="00E33BBD"/>
    <w:rsid w:val="00E374F2"/>
    <w:rsid w:val="00E45103"/>
    <w:rsid w:val="00E55A60"/>
    <w:rsid w:val="00E62778"/>
    <w:rsid w:val="00E63D38"/>
    <w:rsid w:val="00E665B9"/>
    <w:rsid w:val="00E953D1"/>
    <w:rsid w:val="00EA01E6"/>
    <w:rsid w:val="00EA3DE8"/>
    <w:rsid w:val="00EA758F"/>
    <w:rsid w:val="00ED4A6F"/>
    <w:rsid w:val="00EF3A3A"/>
    <w:rsid w:val="00F628D6"/>
    <w:rsid w:val="00F67051"/>
    <w:rsid w:val="00F86A1E"/>
    <w:rsid w:val="00F900C4"/>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0E1A378-EF6E-4D67-AEEF-47108217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1472DACE-4268-43B8-A8DE-60F08960A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F0C573-37E8-4EEF-93A4-95D131594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534</Words>
  <Characters>2671</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דפנה ברנאי</cp:lastModifiedBy>
  <cp:revision>15</cp:revision>
  <cp:lastPrinted>2016-03-29T11:44:00Z</cp:lastPrinted>
  <dcterms:created xsi:type="dcterms:W3CDTF">2015-04-20T09:58:00Z</dcterms:created>
  <dcterms:modified xsi:type="dcterms:W3CDTF">2016-03-29T11:44:00Z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569592</vt:r8>
  </property>
</Properties>
</file>