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577557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6C9ECDD6" w:rsidR="00E13C27" w:rsidRPr="00CF1AA2" w:rsidRDefault="008F6665" w:rsidP="00E35925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אלי אלאלוף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 בן ראובן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 אל חכים חאג' יחיא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rFonts w:hint="cs"/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פ/2789/20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2CFCBC49" w:rsidR="00E13C27" w:rsidRPr="00F67051" w:rsidRDefault="00A443CF" w:rsidP="003A26C5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ארגון הפיקוח על העבודה (תיקון </w:t>
      </w:r>
      <w:r w:rsidR="003A26C5">
        <w:rPr>
          <w:rFonts w:hint="eastAsia"/>
          <w:rtl/>
        </w:rPr>
        <w:t>–</w:t>
      </w:r>
      <w:r w:rsidR="003A26C5">
        <w:rPr>
          <w:rFonts w:hint="cs"/>
          <w:rtl/>
        </w:rPr>
        <w:t xml:space="preserve"> </w:t>
      </w:r>
      <w:r>
        <w:rPr>
          <w:rFonts w:hint="cs"/>
          <w:rtl/>
        </w:rPr>
        <w:t>צווים לסגירת אתר בנייה), התשע"ו</w:t>
      </w:r>
      <w:r w:rsidR="003A26C5">
        <w:rPr>
          <w:rFonts w:hint="eastAsia"/>
          <w:rtl/>
        </w:rPr>
        <w:t>–</w:t>
      </w:r>
      <w:r>
        <w:rPr>
          <w:rFonts w:hint="cs"/>
          <w:rtl/>
        </w:rPr>
        <w:t>2016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</w:tblGrid>
      <w:tr w:rsidR="00C7576C" w14:paraId="035EEF3D" w14:textId="77777777" w:rsidTr="00475B31">
        <w:trPr>
          <w:cantSplit/>
          <w:trHeight w:val="60"/>
        </w:trPr>
        <w:tc>
          <w:tcPr>
            <w:tcW w:w="1871" w:type="dxa"/>
          </w:tcPr>
          <w:p w14:paraId="3863FF98" w14:textId="35F2EF41" w:rsidR="00C7576C" w:rsidRPr="00E35925" w:rsidRDefault="00C7576C" w:rsidP="00E35925">
            <w:pPr>
              <w:pStyle w:val="TableSideHeading"/>
              <w:ind w:right="0"/>
            </w:pPr>
            <w:r w:rsidRPr="00E35925">
              <w:rPr>
                <w:rFonts w:hint="cs"/>
                <w:rtl/>
              </w:rPr>
              <w:t>הוספת סעיף 6א</w:t>
            </w:r>
          </w:p>
        </w:tc>
        <w:tc>
          <w:tcPr>
            <w:tcW w:w="624" w:type="dxa"/>
          </w:tcPr>
          <w:p w14:paraId="6F513EF6" w14:textId="56497962" w:rsidR="00C7576C" w:rsidRPr="00E35925" w:rsidRDefault="00C7576C" w:rsidP="00E35925">
            <w:pPr>
              <w:pStyle w:val="TableText"/>
              <w:ind w:right="0"/>
              <w:jc w:val="both"/>
            </w:pPr>
            <w:r w:rsidRPr="00E35925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6"/>
          </w:tcPr>
          <w:p w14:paraId="1AE94DEB" w14:textId="528E18FB" w:rsidR="00C7576C" w:rsidRPr="00E35925" w:rsidRDefault="00C7576C" w:rsidP="00E35925">
            <w:pPr>
              <w:pStyle w:val="TableBlock"/>
            </w:pPr>
            <w:r w:rsidRPr="00E35925">
              <w:rPr>
                <w:rFonts w:hint="cs"/>
                <w:rtl/>
              </w:rPr>
              <w:t>בחוק ארגון הפיקוח על העבודה, התשי"ד</w:t>
            </w:r>
            <w:r w:rsidRPr="00E35925">
              <w:rPr>
                <w:rFonts w:hint="eastAsia"/>
                <w:rtl/>
              </w:rPr>
              <w:t>–1954</w:t>
            </w:r>
            <w:r w:rsidRPr="00E35925">
              <w:rPr>
                <w:szCs w:val="20"/>
                <w:rtl/>
              </w:rPr>
              <w:footnoteReference w:id="2"/>
            </w:r>
            <w:r w:rsidRPr="00E35925">
              <w:rPr>
                <w:rFonts w:hint="cs"/>
                <w:rtl/>
              </w:rPr>
              <w:t xml:space="preserve"> (להלן </w:t>
            </w:r>
            <w:r w:rsidRPr="00E35925">
              <w:rPr>
                <w:rFonts w:hint="eastAsia"/>
                <w:rtl/>
              </w:rPr>
              <w:t>–</w:t>
            </w:r>
            <w:r w:rsidRPr="00E35925">
              <w:rPr>
                <w:rFonts w:hint="cs"/>
                <w:rtl/>
              </w:rPr>
              <w:t xml:space="preserve"> החוק העיקרי), אחרי סעיף 6 יבוא:</w:t>
            </w:r>
          </w:p>
        </w:tc>
      </w:tr>
      <w:tr w:rsidR="00475B31" w14:paraId="15AA7006" w14:textId="77777777" w:rsidTr="00475B31">
        <w:trPr>
          <w:cantSplit/>
          <w:trHeight w:val="60"/>
        </w:trPr>
        <w:tc>
          <w:tcPr>
            <w:tcW w:w="1871" w:type="dxa"/>
          </w:tcPr>
          <w:p w14:paraId="75D72C71" w14:textId="77777777" w:rsidR="00475B31" w:rsidRPr="00E35925" w:rsidRDefault="00475B31" w:rsidP="00E35925">
            <w:pPr>
              <w:pStyle w:val="TableSideHeading"/>
            </w:pPr>
          </w:p>
        </w:tc>
        <w:tc>
          <w:tcPr>
            <w:tcW w:w="624" w:type="dxa"/>
          </w:tcPr>
          <w:p w14:paraId="5AD0E45C" w14:textId="77777777" w:rsidR="00475B31" w:rsidRPr="00E35925" w:rsidRDefault="00475B31" w:rsidP="00E35925">
            <w:pPr>
              <w:pStyle w:val="TableText"/>
            </w:pPr>
          </w:p>
        </w:tc>
        <w:tc>
          <w:tcPr>
            <w:tcW w:w="1872" w:type="dxa"/>
            <w:gridSpan w:val="3"/>
          </w:tcPr>
          <w:p w14:paraId="1AD57A43" w14:textId="0433A7D4" w:rsidR="00475B31" w:rsidRDefault="00475B31" w:rsidP="003A26C5">
            <w:pPr>
              <w:pStyle w:val="TableInnerSideHeading"/>
              <w:tabs>
                <w:tab w:val="clear" w:pos="1247"/>
              </w:tabs>
              <w:ind w:right="0"/>
            </w:pPr>
            <w:r>
              <w:rPr>
                <w:rFonts w:hint="cs"/>
                <w:rtl/>
              </w:rPr>
              <w:t>"</w:t>
            </w:r>
            <w:r w:rsidRPr="003A26C5">
              <w:rPr>
                <w:rFonts w:hint="cs"/>
                <w:rtl/>
              </w:rPr>
              <w:t>צווי בטיחות בענף הבניין</w:t>
            </w:r>
          </w:p>
        </w:tc>
        <w:tc>
          <w:tcPr>
            <w:tcW w:w="624" w:type="dxa"/>
          </w:tcPr>
          <w:p w14:paraId="0AC011D8" w14:textId="4CBA3579" w:rsidR="00475B31" w:rsidRDefault="00475B31">
            <w:pPr>
              <w:pStyle w:val="TableText"/>
            </w:pPr>
            <w:r>
              <w:rPr>
                <w:rFonts w:hint="cs"/>
                <w:rtl/>
              </w:rPr>
              <w:t>6א.</w:t>
            </w:r>
          </w:p>
        </w:tc>
        <w:tc>
          <w:tcPr>
            <w:tcW w:w="4650" w:type="dxa"/>
            <w:gridSpan w:val="2"/>
          </w:tcPr>
          <w:p w14:paraId="0579331C" w14:textId="00E718F6" w:rsidR="00475B31" w:rsidRDefault="00475B31" w:rsidP="00145211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נודע למפקח עבודה על תאונת עבודה במקום עבודה שהוא אתר בנייה, שגרמה למות אדם או לפציעתו בדרגה קשה,  </w:t>
            </w:r>
            <w:r w:rsidRPr="0052715F">
              <w:rPr>
                <w:rtl/>
              </w:rPr>
              <w:t>רשאי הוא</w:t>
            </w:r>
            <w:r>
              <w:rPr>
                <w:rFonts w:hint="cs"/>
                <w:rtl/>
              </w:rPr>
              <w:t>,</w:t>
            </w:r>
            <w:r w:rsidRPr="0052715F">
              <w:rPr>
                <w:rtl/>
              </w:rPr>
              <w:t xml:space="preserve"> בצו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</w:p>
        </w:tc>
      </w:tr>
      <w:tr w:rsidR="00475B31" w14:paraId="4EAA3272" w14:textId="77777777" w:rsidTr="00475B31">
        <w:trPr>
          <w:cantSplit/>
          <w:trHeight w:val="60"/>
        </w:trPr>
        <w:tc>
          <w:tcPr>
            <w:tcW w:w="1871" w:type="dxa"/>
          </w:tcPr>
          <w:p w14:paraId="15421234" w14:textId="77777777" w:rsidR="00475B31" w:rsidRPr="00E35925" w:rsidRDefault="00475B31" w:rsidP="00E35925">
            <w:pPr>
              <w:pStyle w:val="TableSideHeading"/>
            </w:pPr>
          </w:p>
        </w:tc>
        <w:tc>
          <w:tcPr>
            <w:tcW w:w="624" w:type="dxa"/>
          </w:tcPr>
          <w:p w14:paraId="22C11BA0" w14:textId="77777777" w:rsidR="00475B31" w:rsidRPr="00E35925" w:rsidRDefault="00475B31" w:rsidP="00E35925">
            <w:pPr>
              <w:pStyle w:val="TableText"/>
            </w:pPr>
          </w:p>
        </w:tc>
        <w:tc>
          <w:tcPr>
            <w:tcW w:w="624" w:type="dxa"/>
          </w:tcPr>
          <w:p w14:paraId="654D8E95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6B63D294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6F92598B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5C822B58" w14:textId="77777777" w:rsidR="00475B31" w:rsidRDefault="00475B31">
            <w:pPr>
              <w:pStyle w:val="TableText"/>
            </w:pPr>
          </w:p>
        </w:tc>
        <w:tc>
          <w:tcPr>
            <w:tcW w:w="624" w:type="dxa"/>
          </w:tcPr>
          <w:p w14:paraId="08C5C6EF" w14:textId="39E17E9C" w:rsidR="00475B31" w:rsidRDefault="00475B31">
            <w:pPr>
              <w:pStyle w:val="TableText"/>
            </w:pPr>
          </w:p>
        </w:tc>
        <w:tc>
          <w:tcPr>
            <w:tcW w:w="4026" w:type="dxa"/>
          </w:tcPr>
          <w:p w14:paraId="266D6AE2" w14:textId="533776A9" w:rsidR="00475B31" w:rsidRDefault="00E35925" w:rsidP="00145211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="00475B31">
              <w:rPr>
                <w:rFonts w:hint="cs"/>
                <w:rtl/>
              </w:rPr>
              <w:t>לאסור על המשך הפעילות באתר הבנייה, לתקופה ש</w:t>
            </w:r>
            <w:r w:rsidR="00145211">
              <w:rPr>
                <w:rFonts w:hint="cs"/>
                <w:rtl/>
              </w:rPr>
              <w:t xml:space="preserve">ל </w:t>
            </w:r>
            <w:r w:rsidR="00475B31">
              <w:rPr>
                <w:rFonts w:hint="cs"/>
                <w:rtl/>
              </w:rPr>
              <w:t>חמישה ימי עבודה;</w:t>
            </w:r>
          </w:p>
        </w:tc>
      </w:tr>
      <w:tr w:rsidR="00C7576C" w14:paraId="5E388858" w14:textId="77777777" w:rsidTr="00475B31">
        <w:trPr>
          <w:cantSplit/>
          <w:trHeight w:val="60"/>
        </w:trPr>
        <w:tc>
          <w:tcPr>
            <w:tcW w:w="1871" w:type="dxa"/>
          </w:tcPr>
          <w:p w14:paraId="404D72BB" w14:textId="77777777" w:rsidR="00C7576C" w:rsidRPr="00E35925" w:rsidRDefault="00C7576C" w:rsidP="00E35925">
            <w:pPr>
              <w:pStyle w:val="TableSideHeading"/>
            </w:pPr>
          </w:p>
        </w:tc>
        <w:tc>
          <w:tcPr>
            <w:tcW w:w="624" w:type="dxa"/>
          </w:tcPr>
          <w:p w14:paraId="763759A8" w14:textId="77777777" w:rsidR="00C7576C" w:rsidRPr="00E35925" w:rsidRDefault="00C7576C" w:rsidP="00E35925">
            <w:pPr>
              <w:pStyle w:val="TableText"/>
            </w:pPr>
          </w:p>
        </w:tc>
        <w:tc>
          <w:tcPr>
            <w:tcW w:w="624" w:type="dxa"/>
          </w:tcPr>
          <w:p w14:paraId="4477672F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33BE5828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2848C775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0B188D94" w14:textId="77777777" w:rsidR="00C7576C" w:rsidRDefault="00C7576C">
            <w:pPr>
              <w:pStyle w:val="TableText"/>
            </w:pPr>
          </w:p>
        </w:tc>
        <w:tc>
          <w:tcPr>
            <w:tcW w:w="624" w:type="dxa"/>
          </w:tcPr>
          <w:p w14:paraId="47FC1179" w14:textId="56717AE1" w:rsidR="00C7576C" w:rsidRDefault="00C7576C">
            <w:pPr>
              <w:pStyle w:val="TableText"/>
            </w:pPr>
          </w:p>
        </w:tc>
        <w:tc>
          <w:tcPr>
            <w:tcW w:w="4026" w:type="dxa"/>
          </w:tcPr>
          <w:p w14:paraId="2C373D54" w14:textId="567128E1" w:rsidR="00C7576C" w:rsidRDefault="00E35925" w:rsidP="00C7576C">
            <w:pPr>
              <w:pStyle w:val="Hesber"/>
              <w:ind w:firstLine="0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="00475B31" w:rsidRPr="00DE3D67">
              <w:rPr>
                <w:rtl/>
              </w:rPr>
              <w:t>ל</w:t>
            </w:r>
            <w:r w:rsidR="00475B31" w:rsidRPr="00DE3D67">
              <w:rPr>
                <w:rFonts w:hint="cs"/>
                <w:rtl/>
              </w:rPr>
              <w:t>חייב את המחזיק במקום העבודה לנקוט, תוך הזמן הנקוב בצו, אמצעים כמפורש בצו לשם הרחקת הסכנה</w:t>
            </w:r>
            <w:r w:rsidR="00475B31">
              <w:rPr>
                <w:rFonts w:hint="cs"/>
                <w:rtl/>
              </w:rPr>
              <w:t>, ל</w:t>
            </w:r>
            <w:r w:rsidR="00475B31" w:rsidRPr="00145211">
              <w:rPr>
                <w:rFonts w:hint="cs"/>
                <w:rtl/>
              </w:rPr>
              <w:t>רבות תיקון ליקויים</w:t>
            </w:r>
            <w:r w:rsidR="00145211" w:rsidRPr="00145211">
              <w:rPr>
                <w:rFonts w:hint="cs"/>
                <w:rtl/>
              </w:rPr>
              <w:t>,</w:t>
            </w:r>
            <w:r w:rsidR="00475B31" w:rsidRPr="00145211">
              <w:rPr>
                <w:rFonts w:hint="cs"/>
                <w:rtl/>
              </w:rPr>
              <w:t xml:space="preserve"> קביעת נהלים והנחיית עובדים</w:t>
            </w:r>
            <w:r w:rsidR="00475B31">
              <w:rPr>
                <w:rFonts w:hint="cs"/>
                <w:rtl/>
              </w:rPr>
              <w:t>".</w:t>
            </w:r>
          </w:p>
        </w:tc>
      </w:tr>
      <w:tr w:rsidR="00FA07B7" w14:paraId="53118289" w14:textId="77777777">
        <w:trPr>
          <w:cantSplit/>
          <w:trHeight w:val="60"/>
        </w:trPr>
        <w:tc>
          <w:tcPr>
            <w:tcW w:w="1871" w:type="dxa"/>
          </w:tcPr>
          <w:p w14:paraId="189384FF" w14:textId="77777777" w:rsidR="00FA07B7" w:rsidRPr="00E35925" w:rsidRDefault="00FA07B7" w:rsidP="00E35925">
            <w:pPr>
              <w:pStyle w:val="TableSideHeading"/>
            </w:pPr>
          </w:p>
        </w:tc>
        <w:tc>
          <w:tcPr>
            <w:tcW w:w="624" w:type="dxa"/>
          </w:tcPr>
          <w:p w14:paraId="6E61F9FC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3FC0201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489C39F8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C68C59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4A7144A4" w14:textId="77777777" w:rsidR="00FA07B7" w:rsidRDefault="00FA07B7">
            <w:pPr>
              <w:pStyle w:val="TableText"/>
            </w:pPr>
          </w:p>
        </w:tc>
        <w:tc>
          <w:tcPr>
            <w:tcW w:w="4650" w:type="dxa"/>
            <w:gridSpan w:val="2"/>
          </w:tcPr>
          <w:p w14:paraId="76631B0C" w14:textId="59CDC4AD" w:rsidR="00FA07B7" w:rsidRDefault="00FA07B7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הוראות סעי</w:t>
            </w:r>
            <w:r w:rsidR="00D5317F">
              <w:rPr>
                <w:rFonts w:hint="cs"/>
                <w:rtl/>
              </w:rPr>
              <w:t>פים</w:t>
            </w:r>
            <w:r>
              <w:rPr>
                <w:rFonts w:hint="cs"/>
                <w:rtl/>
              </w:rPr>
              <w:t xml:space="preserve"> 6(ג) ו-(ד) ו-7(א) יחולו על צו לפי סעיף זה, בשינויים המחויבים.</w:t>
            </w:r>
          </w:p>
        </w:tc>
      </w:tr>
      <w:tr w:rsidR="00FA07B7" w14:paraId="3761E805" w14:textId="77777777">
        <w:trPr>
          <w:cantSplit/>
          <w:trHeight w:val="60"/>
        </w:trPr>
        <w:tc>
          <w:tcPr>
            <w:tcW w:w="1871" w:type="dxa"/>
          </w:tcPr>
          <w:p w14:paraId="79273BEA" w14:textId="77777777" w:rsidR="00FA07B7" w:rsidRPr="00E35925" w:rsidRDefault="00FA07B7" w:rsidP="00E35925">
            <w:pPr>
              <w:pStyle w:val="TableSideHeading"/>
            </w:pPr>
          </w:p>
        </w:tc>
        <w:tc>
          <w:tcPr>
            <w:tcW w:w="624" w:type="dxa"/>
          </w:tcPr>
          <w:p w14:paraId="713287A0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3A89FC7D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5AA80886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7B5BD099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0C5E6835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1CD07F04" w14:textId="64079F0E" w:rsidR="00FA07B7" w:rsidRDefault="00FA07B7">
            <w:pPr>
              <w:pStyle w:val="TableText"/>
            </w:pPr>
            <w:r>
              <w:rPr>
                <w:rFonts w:hint="cs"/>
                <w:rtl/>
              </w:rPr>
              <w:t>(ג)</w:t>
            </w:r>
          </w:p>
        </w:tc>
        <w:tc>
          <w:tcPr>
            <w:tcW w:w="4026" w:type="dxa"/>
          </w:tcPr>
          <w:p w14:paraId="05A5740E" w14:textId="554678A4" w:rsidR="00FA07B7" w:rsidRDefault="00FA07B7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צו לפי סעיף קטן (א)(1) יכול שיינתן באופן מיידי</w:t>
            </w:r>
            <w:r w:rsidR="00E35925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ובלבד שניתנה למחזיק במקום העבודה הזדמנות לטעון את טענותיו בתוך זמן סביר לאחר מועד מתן הצו;</w:t>
            </w:r>
          </w:p>
        </w:tc>
      </w:tr>
      <w:tr w:rsidR="00FA07B7" w14:paraId="0FBCC983" w14:textId="77777777">
        <w:trPr>
          <w:cantSplit/>
          <w:trHeight w:val="60"/>
        </w:trPr>
        <w:tc>
          <w:tcPr>
            <w:tcW w:w="1871" w:type="dxa"/>
          </w:tcPr>
          <w:p w14:paraId="623F105E" w14:textId="77777777" w:rsidR="00FA07B7" w:rsidRPr="00E35925" w:rsidRDefault="00FA07B7" w:rsidP="00E3592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863C190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16057BDE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6B6DC338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6CE737CC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7D548212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E0EDB36" w14:textId="77777777" w:rsidR="00FA07B7" w:rsidRDefault="00FA07B7">
            <w:pPr>
              <w:pStyle w:val="TableText"/>
              <w:rPr>
                <w:rtl/>
              </w:rPr>
            </w:pPr>
          </w:p>
        </w:tc>
        <w:tc>
          <w:tcPr>
            <w:tcW w:w="4026" w:type="dxa"/>
          </w:tcPr>
          <w:p w14:paraId="0AFC6509" w14:textId="685CF1DA" w:rsidR="00FA07B7" w:rsidRDefault="00FA07B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על צו לפי סעיף קטן (א)(2) יחולו הוראות סעי</w:t>
            </w:r>
            <w:r w:rsidRPr="005B0F4B">
              <w:rPr>
                <w:rtl/>
              </w:rPr>
              <w:t>ף 6(ב)</w:t>
            </w:r>
            <w:r>
              <w:rPr>
                <w:rFonts w:hint="cs"/>
                <w:rtl/>
              </w:rPr>
              <w:t>, בשינויים המחויבים.</w:t>
            </w:r>
          </w:p>
        </w:tc>
      </w:tr>
      <w:tr w:rsidR="00FA07B7" w14:paraId="1BA5F6C2" w14:textId="77777777">
        <w:trPr>
          <w:cantSplit/>
          <w:trHeight w:val="60"/>
        </w:trPr>
        <w:tc>
          <w:tcPr>
            <w:tcW w:w="1871" w:type="dxa"/>
          </w:tcPr>
          <w:p w14:paraId="4A31D395" w14:textId="77777777" w:rsidR="00FA07B7" w:rsidRPr="00E35925" w:rsidRDefault="00FA07B7" w:rsidP="00E3592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48EE599" w14:textId="77777777" w:rsidR="00FA07B7" w:rsidRPr="00E35925" w:rsidRDefault="00FA07B7" w:rsidP="00E35925">
            <w:pPr>
              <w:pStyle w:val="TableText"/>
            </w:pPr>
          </w:p>
        </w:tc>
        <w:tc>
          <w:tcPr>
            <w:tcW w:w="624" w:type="dxa"/>
          </w:tcPr>
          <w:p w14:paraId="290B230F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2B4CAF52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37EEB175" w14:textId="77777777" w:rsidR="00FA07B7" w:rsidRDefault="00FA07B7">
            <w:pPr>
              <w:pStyle w:val="TableText"/>
            </w:pPr>
          </w:p>
        </w:tc>
        <w:tc>
          <w:tcPr>
            <w:tcW w:w="624" w:type="dxa"/>
          </w:tcPr>
          <w:p w14:paraId="5B1AB915" w14:textId="77777777" w:rsidR="00FA07B7" w:rsidRDefault="00FA07B7">
            <w:pPr>
              <w:pStyle w:val="TableText"/>
            </w:pPr>
          </w:p>
        </w:tc>
        <w:tc>
          <w:tcPr>
            <w:tcW w:w="4650" w:type="dxa"/>
            <w:gridSpan w:val="2"/>
          </w:tcPr>
          <w:p w14:paraId="2B3B43D4" w14:textId="46C4B6C8" w:rsidR="00FA07B7" w:rsidRDefault="00FA07B7" w:rsidP="003242F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ניתן צו לפי סעיף זה, יבדוק מפקח עבודה בתום המועד </w:t>
            </w:r>
            <w:r w:rsidR="003242FC">
              <w:rPr>
                <w:rFonts w:hint="cs"/>
                <w:rtl/>
              </w:rPr>
              <w:t xml:space="preserve">הקבוע </w:t>
            </w:r>
            <w:r>
              <w:rPr>
                <w:rFonts w:hint="cs"/>
                <w:rtl/>
              </w:rPr>
              <w:t xml:space="preserve">בצו את מצב הבטיחות במקום העבודה, </w:t>
            </w:r>
            <w:r w:rsidR="00D5317F">
              <w:rPr>
                <w:rFonts w:hint="cs"/>
                <w:rtl/>
              </w:rPr>
              <w:t>ורשאי הוא לתת צו לפי סעיפים 6 ו-</w:t>
            </w:r>
            <w:r>
              <w:rPr>
                <w:rFonts w:hint="cs"/>
                <w:rtl/>
              </w:rPr>
              <w:t>8א לשם הבטחת מצב הבטיחות, בלי לגרוע מכל ס</w:t>
            </w:r>
            <w:r w:rsidR="00E35925">
              <w:rPr>
                <w:rFonts w:hint="cs"/>
                <w:rtl/>
              </w:rPr>
              <w:t>מכות אחרת הנתונה לו על פי דין."</w:t>
            </w:r>
          </w:p>
        </w:tc>
      </w:tr>
      <w:tr w:rsidR="00FA07B7" w14:paraId="3D9B61D1" w14:textId="77777777" w:rsidTr="00475B31">
        <w:trPr>
          <w:cantSplit/>
          <w:trHeight w:val="60"/>
        </w:trPr>
        <w:tc>
          <w:tcPr>
            <w:tcW w:w="1871" w:type="dxa"/>
          </w:tcPr>
          <w:p w14:paraId="6C0CB9D8" w14:textId="05C27E45" w:rsidR="00FA07B7" w:rsidRPr="00E35925" w:rsidRDefault="00FA07B7" w:rsidP="00E35925">
            <w:pPr>
              <w:pStyle w:val="TableSideHeading"/>
            </w:pPr>
            <w:r w:rsidRPr="00E35925">
              <w:rPr>
                <w:rFonts w:hint="cs"/>
                <w:rtl/>
              </w:rPr>
              <w:t>תיקון סעיף 8</w:t>
            </w:r>
          </w:p>
        </w:tc>
        <w:tc>
          <w:tcPr>
            <w:tcW w:w="624" w:type="dxa"/>
          </w:tcPr>
          <w:p w14:paraId="3F4286A2" w14:textId="016483BA" w:rsidR="00FA07B7" w:rsidRPr="00E35925" w:rsidRDefault="00FA07B7" w:rsidP="00E35925">
            <w:pPr>
              <w:pStyle w:val="TableText"/>
            </w:pPr>
            <w:r w:rsidRPr="00E35925">
              <w:rPr>
                <w:rFonts w:hint="cs"/>
                <w:rtl/>
              </w:rPr>
              <w:t xml:space="preserve">2. </w:t>
            </w:r>
          </w:p>
        </w:tc>
        <w:tc>
          <w:tcPr>
            <w:tcW w:w="7146" w:type="dxa"/>
            <w:gridSpan w:val="6"/>
          </w:tcPr>
          <w:p w14:paraId="7633D5BB" w14:textId="52EA5649" w:rsidR="00FA07B7" w:rsidRPr="00C34DE2" w:rsidRDefault="00E35925" w:rsidP="002C3041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בסעיף 8 לחוק העיקרי </w:t>
            </w:r>
            <w:r>
              <w:rPr>
                <w:rFonts w:hint="eastAsia"/>
                <w:rtl/>
              </w:rPr>
              <w:t>–</w:t>
            </w:r>
          </w:p>
        </w:tc>
      </w:tr>
      <w:tr w:rsidR="00F05377" w14:paraId="569256A4" w14:textId="77777777" w:rsidTr="00475B31">
        <w:trPr>
          <w:cantSplit/>
          <w:trHeight w:val="60"/>
        </w:trPr>
        <w:tc>
          <w:tcPr>
            <w:tcW w:w="1871" w:type="dxa"/>
          </w:tcPr>
          <w:p w14:paraId="6CDCE8FF" w14:textId="0FFEF2AB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71E37552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3E18C034" w14:textId="6CE45E34" w:rsidR="00F05377" w:rsidRPr="00C34DE2" w:rsidRDefault="00F05377" w:rsidP="002C3041">
            <w:pPr>
              <w:pStyle w:val="TableBlock"/>
              <w:keepLines w:val="0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(א), אחרי "לפי סעיף 6" יבוא "או 6א";</w:t>
            </w:r>
          </w:p>
        </w:tc>
      </w:tr>
      <w:tr w:rsidR="00F05377" w14:paraId="37055D95" w14:textId="77777777" w:rsidTr="00475B31">
        <w:trPr>
          <w:cantSplit/>
          <w:trHeight w:val="60"/>
        </w:trPr>
        <w:tc>
          <w:tcPr>
            <w:tcW w:w="1871" w:type="dxa"/>
          </w:tcPr>
          <w:p w14:paraId="332EAE20" w14:textId="77777777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20DACFA1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055C0A57" w14:textId="63E3FCE3" w:rsidR="00F05377" w:rsidRDefault="00F05377" w:rsidP="002C3041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סעיף קטן (ב) יבוא:</w:t>
            </w:r>
          </w:p>
        </w:tc>
      </w:tr>
      <w:tr w:rsidR="00F05377" w14:paraId="4011824B" w14:textId="77777777">
        <w:trPr>
          <w:cantSplit/>
          <w:trHeight w:val="60"/>
        </w:trPr>
        <w:tc>
          <w:tcPr>
            <w:tcW w:w="1871" w:type="dxa"/>
          </w:tcPr>
          <w:p w14:paraId="4C225C30" w14:textId="77777777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5D376F42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624" w:type="dxa"/>
          </w:tcPr>
          <w:p w14:paraId="32B41E4E" w14:textId="77777777" w:rsidR="00F05377" w:rsidRDefault="00F05377">
            <w:pPr>
              <w:pStyle w:val="TableText"/>
            </w:pPr>
          </w:p>
        </w:tc>
        <w:tc>
          <w:tcPr>
            <w:tcW w:w="6522" w:type="dxa"/>
            <w:gridSpan w:val="5"/>
          </w:tcPr>
          <w:p w14:paraId="42FB5C52" w14:textId="1CBCB81B" w:rsidR="00F05377" w:rsidRDefault="00F05377">
            <w:pPr>
              <w:pStyle w:val="TableBlock"/>
            </w:pPr>
            <w:r>
              <w:rPr>
                <w:rFonts w:hint="cs"/>
                <w:rtl/>
              </w:rPr>
              <w:t>"(ב1)</w:t>
            </w:r>
            <w:r>
              <w:rPr>
                <w:rtl/>
              </w:rPr>
              <w:tab/>
            </w:r>
            <w:r w:rsidRPr="00FE2BD7">
              <w:rPr>
                <w:rtl/>
              </w:rPr>
              <w:t>ל</w:t>
            </w:r>
            <w:r w:rsidRPr="00FE2BD7">
              <w:rPr>
                <w:rFonts w:hint="cs"/>
                <w:rtl/>
              </w:rPr>
              <w:t xml:space="preserve">א קויים צו שניתן לפי סעיף </w:t>
            </w:r>
            <w:r>
              <w:rPr>
                <w:rFonts w:hint="cs"/>
                <w:rtl/>
              </w:rPr>
              <w:t>6א</w:t>
            </w:r>
            <w:r w:rsidRPr="00FE2BD7">
              <w:rPr>
                <w:rFonts w:hint="cs"/>
                <w:rtl/>
              </w:rPr>
              <w:t xml:space="preserve">, דין המחזיק במקום העבודה שניתן עליו הצו </w:t>
            </w:r>
            <w:r w:rsidRPr="00FE2BD7">
              <w:rPr>
                <w:rtl/>
              </w:rPr>
              <w:t xml:space="preserve">– </w:t>
            </w:r>
            <w:r w:rsidRPr="00FE2BD7">
              <w:rPr>
                <w:rFonts w:hint="cs"/>
                <w:rtl/>
              </w:rPr>
              <w:t>מאסר שנתיים או הקנס הקבוע בסעיף 61א(4) לחוק העונשין, התשל"ז</w:t>
            </w:r>
            <w:r w:rsidRPr="00FE2BD7">
              <w:rPr>
                <w:rFonts w:hint="eastAsia"/>
                <w:rtl/>
              </w:rPr>
              <w:t>–</w:t>
            </w:r>
            <w:r w:rsidRPr="00FE2BD7">
              <w:rPr>
                <w:rFonts w:hint="cs"/>
                <w:rtl/>
              </w:rPr>
              <w:t>1977</w:t>
            </w:r>
            <w:r>
              <w:rPr>
                <w:rStyle w:val="a7"/>
                <w:rtl/>
              </w:rPr>
              <w:footnoteReference w:id="3"/>
            </w:r>
            <w:r w:rsidRPr="00FE2BD7">
              <w:rPr>
                <w:rFonts w:hint="cs"/>
                <w:rtl/>
              </w:rPr>
              <w:t xml:space="preserve"> (להלן</w:t>
            </w:r>
            <w:r w:rsidR="003B1AE5">
              <w:rPr>
                <w:rFonts w:hint="cs"/>
                <w:rtl/>
              </w:rPr>
              <w:t xml:space="preserve"> </w:t>
            </w:r>
            <w:r w:rsidRPr="00FE2BD7">
              <w:rPr>
                <w:rFonts w:hint="eastAsia"/>
                <w:rtl/>
              </w:rPr>
              <w:t>– חוק העונשין</w:t>
            </w:r>
            <w:r w:rsidRPr="00FE2BD7">
              <w:rPr>
                <w:rFonts w:hint="cs"/>
                <w:rtl/>
              </w:rPr>
              <w:t>) או שני הע</w:t>
            </w:r>
            <w:r w:rsidR="003B1AE5">
              <w:rPr>
                <w:rFonts w:hint="cs"/>
                <w:rtl/>
              </w:rPr>
              <w:t>ו</w:t>
            </w:r>
            <w:r w:rsidRPr="00FE2BD7">
              <w:rPr>
                <w:rFonts w:hint="cs"/>
                <w:rtl/>
              </w:rPr>
              <w:t>נשים כאחד, וכן הקנס הקבוע בסעיף 61ג לחוק העונשין לכל יום שבו נמשכת העבירה</w:t>
            </w:r>
            <w:r w:rsidR="003B1AE5">
              <w:rPr>
                <w:rFonts w:hint="cs"/>
                <w:rtl/>
              </w:rPr>
              <w:t>.</w:t>
            </w:r>
            <w:r w:rsidRPr="00FE2BD7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;</w:t>
            </w:r>
          </w:p>
        </w:tc>
      </w:tr>
      <w:tr w:rsidR="00F05377" w14:paraId="6E0FA392" w14:textId="77777777">
        <w:trPr>
          <w:cantSplit/>
          <w:trHeight w:val="60"/>
        </w:trPr>
        <w:tc>
          <w:tcPr>
            <w:tcW w:w="1871" w:type="dxa"/>
          </w:tcPr>
          <w:p w14:paraId="3B14D3A9" w14:textId="5E0C6F78" w:rsidR="00F05377" w:rsidRPr="00E35925" w:rsidRDefault="00F05377" w:rsidP="00E35925">
            <w:pPr>
              <w:pStyle w:val="TableSideHeading"/>
            </w:pPr>
          </w:p>
        </w:tc>
        <w:tc>
          <w:tcPr>
            <w:tcW w:w="624" w:type="dxa"/>
          </w:tcPr>
          <w:p w14:paraId="2908CC4B" w14:textId="77777777" w:rsidR="00F05377" w:rsidRPr="00E35925" w:rsidRDefault="00F05377" w:rsidP="00E35925">
            <w:pPr>
              <w:pStyle w:val="TableText"/>
            </w:pPr>
          </w:p>
        </w:tc>
        <w:tc>
          <w:tcPr>
            <w:tcW w:w="7146" w:type="dxa"/>
            <w:gridSpan w:val="6"/>
          </w:tcPr>
          <w:p w14:paraId="5192212D" w14:textId="67485C5E" w:rsidR="00F05377" w:rsidRPr="00C34DE2" w:rsidRDefault="00F05377" w:rsidP="00F05377">
            <w:pPr>
              <w:pStyle w:val="Hesber"/>
              <w:ind w:firstLine="0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(ג), אחרי "סעיף 6" יבוא "או 6א".</w:t>
            </w:r>
          </w:p>
        </w:tc>
      </w:tr>
      <w:tr w:rsidR="00F05377" w14:paraId="32AF2869" w14:textId="77777777">
        <w:trPr>
          <w:cantSplit/>
          <w:trHeight w:val="60"/>
        </w:trPr>
        <w:tc>
          <w:tcPr>
            <w:tcW w:w="1871" w:type="dxa"/>
          </w:tcPr>
          <w:p w14:paraId="4D4651C7" w14:textId="6188D95D" w:rsidR="00F05377" w:rsidRPr="00E35925" w:rsidRDefault="00F05377" w:rsidP="00E35925">
            <w:pPr>
              <w:pStyle w:val="TableSideHeading"/>
            </w:pPr>
            <w:r w:rsidRPr="00E35925">
              <w:rPr>
                <w:rFonts w:hint="cs"/>
                <w:rtl/>
              </w:rPr>
              <w:t>תיקון פקודת תאונות ומחלות משלח יד (הודעה)</w:t>
            </w:r>
          </w:p>
        </w:tc>
        <w:tc>
          <w:tcPr>
            <w:tcW w:w="624" w:type="dxa"/>
          </w:tcPr>
          <w:p w14:paraId="1DBC1264" w14:textId="0E73CB19" w:rsidR="00F05377" w:rsidRPr="00E35925" w:rsidRDefault="00E35925" w:rsidP="00E35925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6"/>
          </w:tcPr>
          <w:p w14:paraId="531A4AA9" w14:textId="7B546D10" w:rsidR="00F05377" w:rsidRDefault="00F053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Pr="00962D79">
              <w:rPr>
                <w:rtl/>
              </w:rPr>
              <w:t>פקודת תאונות ומחלות משלח יד (הודעה)</w:t>
            </w:r>
            <w:r>
              <w:rPr>
                <w:rFonts w:hint="cs"/>
                <w:rtl/>
              </w:rPr>
              <w:t>, 1945</w:t>
            </w:r>
            <w:r>
              <w:rPr>
                <w:rStyle w:val="a7"/>
                <w:rtl/>
              </w:rPr>
              <w:footnoteReference w:id="4"/>
            </w:r>
            <w:r>
              <w:rPr>
                <w:rFonts w:hint="cs"/>
                <w:rtl/>
              </w:rPr>
              <w:t>, אחרי סעיף 5 יבוא:</w:t>
            </w:r>
          </w:p>
        </w:tc>
      </w:tr>
      <w:tr w:rsidR="00614E39" w14:paraId="57168EF4" w14:textId="77777777">
        <w:trPr>
          <w:cantSplit/>
          <w:trHeight w:val="60"/>
        </w:trPr>
        <w:tc>
          <w:tcPr>
            <w:tcW w:w="1871" w:type="dxa"/>
          </w:tcPr>
          <w:p w14:paraId="342641B4" w14:textId="0A26EE8C" w:rsidR="00614E39" w:rsidRPr="00E35925" w:rsidRDefault="00614E39" w:rsidP="00E35925">
            <w:pPr>
              <w:pStyle w:val="TableSideHeading"/>
            </w:pPr>
          </w:p>
        </w:tc>
        <w:tc>
          <w:tcPr>
            <w:tcW w:w="624" w:type="dxa"/>
          </w:tcPr>
          <w:p w14:paraId="3AB36750" w14:textId="77777777" w:rsidR="00614E39" w:rsidRPr="00E35925" w:rsidRDefault="00614E39" w:rsidP="00E35925">
            <w:pPr>
              <w:pStyle w:val="TableText"/>
            </w:pPr>
          </w:p>
        </w:tc>
        <w:tc>
          <w:tcPr>
            <w:tcW w:w="1872" w:type="dxa"/>
            <w:gridSpan w:val="3"/>
          </w:tcPr>
          <w:p w14:paraId="0F8F4880" w14:textId="35BD02A8" w:rsidR="00614E39" w:rsidRDefault="00614E39">
            <w:pPr>
              <w:pStyle w:val="TableInnerSideHeading"/>
            </w:pPr>
            <w:r>
              <w:rPr>
                <w:rFonts w:hint="cs"/>
                <w:rtl/>
              </w:rPr>
              <w:t>"מסירת הודעה ממשטרת ישראל</w:t>
            </w:r>
          </w:p>
        </w:tc>
        <w:tc>
          <w:tcPr>
            <w:tcW w:w="624" w:type="dxa"/>
          </w:tcPr>
          <w:p w14:paraId="06DD0137" w14:textId="2F1BC85D" w:rsidR="00614E39" w:rsidRDefault="00614E39">
            <w:pPr>
              <w:pStyle w:val="TableText"/>
            </w:pPr>
            <w:r>
              <w:rPr>
                <w:rFonts w:hint="cs"/>
                <w:rtl/>
              </w:rPr>
              <w:t>5א.</w:t>
            </w:r>
          </w:p>
        </w:tc>
        <w:tc>
          <w:tcPr>
            <w:tcW w:w="4650" w:type="dxa"/>
            <w:gridSpan w:val="2"/>
          </w:tcPr>
          <w:p w14:paraId="67843C9F" w14:textId="6CA95EA2" w:rsidR="00614E39" w:rsidRDefault="00614E39" w:rsidP="003242FC">
            <w:pPr>
              <w:pStyle w:val="TableBlock"/>
            </w:pPr>
            <w:r>
              <w:rPr>
                <w:rFonts w:hint="cs"/>
                <w:rtl/>
              </w:rPr>
              <w:t xml:space="preserve">נודע למשטרת ישראל על תאונת עבודה שגרמה למותו של אדם או </w:t>
            </w:r>
            <w:r w:rsidRPr="00962D79">
              <w:rPr>
                <w:rtl/>
              </w:rPr>
              <w:t xml:space="preserve">לפציעתו בדרגה קשה, </w:t>
            </w:r>
            <w:r w:rsidR="00E35925">
              <w:rPr>
                <w:rFonts w:hint="cs"/>
                <w:rtl/>
              </w:rPr>
              <w:t>תודיע על כך למפקח עבודה ראשי."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892CEE0" w14:textId="209A587A" w:rsidR="00BD3F3A" w:rsidRPr="00C0501A" w:rsidRDefault="00E35925" w:rsidP="00B51C2C">
      <w:pPr>
        <w:spacing w:line="360" w:lineRule="auto"/>
        <w:rPr>
          <w:rFonts w:cs="David"/>
          <w:noProof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בשנים האחרונות</w:t>
      </w:r>
      <w:r w:rsidR="00BD3F3A" w:rsidRPr="00C0501A">
        <w:rPr>
          <w:rFonts w:cs="David" w:hint="cs"/>
          <w:sz w:val="26"/>
          <w:szCs w:val="26"/>
          <w:rtl/>
        </w:rPr>
        <w:t xml:space="preserve"> למעלה ממחצית מכלל ההרוגים </w:t>
      </w:r>
      <w:r w:rsidR="003B1AE5">
        <w:rPr>
          <w:rFonts w:cs="David" w:hint="cs"/>
          <w:sz w:val="26"/>
          <w:szCs w:val="26"/>
          <w:rtl/>
        </w:rPr>
        <w:t>ב</w:t>
      </w:r>
      <w:r w:rsidR="003B1AE5" w:rsidRPr="00C0501A">
        <w:rPr>
          <w:rFonts w:cs="David" w:hint="cs"/>
          <w:sz w:val="26"/>
          <w:szCs w:val="26"/>
          <w:rtl/>
        </w:rPr>
        <w:t xml:space="preserve">תאונות </w:t>
      </w:r>
      <w:r w:rsidR="00BD3F3A" w:rsidRPr="00C0501A">
        <w:rPr>
          <w:rFonts w:cs="David" w:hint="cs"/>
          <w:sz w:val="26"/>
          <w:szCs w:val="26"/>
          <w:rtl/>
        </w:rPr>
        <w:t>עבו</w:t>
      </w:r>
      <w:r>
        <w:rPr>
          <w:rFonts w:cs="David" w:hint="cs"/>
          <w:sz w:val="26"/>
          <w:szCs w:val="26"/>
          <w:rtl/>
        </w:rPr>
        <w:t>דה הם עובדים בענף הבנייה, ואלפי</w:t>
      </w:r>
      <w:r w:rsidR="00BD3F3A" w:rsidRPr="00C0501A">
        <w:rPr>
          <w:rFonts w:cs="David" w:hint="cs"/>
          <w:sz w:val="26"/>
          <w:szCs w:val="26"/>
          <w:rtl/>
        </w:rPr>
        <w:t xml:space="preserve"> עובדים נוספים בענף הבנ</w:t>
      </w:r>
      <w:r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 xml:space="preserve">יה נפצעים מדי שנה. </w:t>
      </w:r>
      <w:r w:rsidR="001A3E84" w:rsidRPr="00C0501A">
        <w:rPr>
          <w:rFonts w:cs="David" w:hint="cs"/>
          <w:sz w:val="26"/>
          <w:szCs w:val="26"/>
          <w:rtl/>
        </w:rPr>
        <w:t>הפיקוח באתרי הבני</w:t>
      </w:r>
      <w:r>
        <w:rPr>
          <w:rFonts w:cs="David" w:hint="cs"/>
          <w:sz w:val="26"/>
          <w:szCs w:val="26"/>
          <w:rtl/>
        </w:rPr>
        <w:t>י</w:t>
      </w:r>
      <w:r w:rsidR="001A3E84" w:rsidRPr="00C0501A">
        <w:rPr>
          <w:rFonts w:cs="David" w:hint="cs"/>
          <w:sz w:val="26"/>
          <w:szCs w:val="26"/>
          <w:rtl/>
        </w:rPr>
        <w:t xml:space="preserve">ה בישראל, עליו אמון </w:t>
      </w:r>
      <w:r w:rsidR="00BD3F3A" w:rsidRPr="00C0501A">
        <w:rPr>
          <w:rFonts w:cs="David" w:hint="cs"/>
          <w:sz w:val="26"/>
          <w:szCs w:val="26"/>
          <w:rtl/>
        </w:rPr>
        <w:t>מ</w:t>
      </w:r>
      <w:r w:rsidR="001A3E84" w:rsidRPr="00C0501A"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>נהל הבטיחות והבריאות התעסוקתית במשרד הכלכלה</w:t>
      </w:r>
      <w:r>
        <w:rPr>
          <w:rFonts w:cs="David" w:hint="cs"/>
          <w:sz w:val="26"/>
          <w:szCs w:val="26"/>
          <w:rtl/>
        </w:rPr>
        <w:t xml:space="preserve"> והתעשייה</w:t>
      </w:r>
      <w:r w:rsidR="00BD3F3A" w:rsidRPr="00C0501A">
        <w:rPr>
          <w:rFonts w:cs="David" w:hint="cs"/>
          <w:sz w:val="26"/>
          <w:szCs w:val="26"/>
          <w:rtl/>
        </w:rPr>
        <w:t>,</w:t>
      </w:r>
      <w:r w:rsidR="008D3F05" w:rsidRPr="00C0501A">
        <w:rPr>
          <w:rFonts w:cs="David" w:hint="cs"/>
          <w:sz w:val="26"/>
          <w:szCs w:val="26"/>
          <w:rtl/>
        </w:rPr>
        <w:t xml:space="preserve"> מעסיק מעט מדי מפקחים על למעלה מ-13,000 אתרי בניה ברחבי הארץ</w:t>
      </w:r>
      <w:r w:rsidR="006865BD" w:rsidRPr="00C0501A">
        <w:rPr>
          <w:rFonts w:cs="David" w:hint="cs"/>
          <w:sz w:val="26"/>
          <w:szCs w:val="26"/>
          <w:rtl/>
        </w:rPr>
        <w:t>, והוא</w:t>
      </w:r>
      <w:r w:rsidR="00BD3F3A" w:rsidRPr="00C0501A">
        <w:rPr>
          <w:rFonts w:cs="David" w:hint="cs"/>
          <w:sz w:val="26"/>
          <w:szCs w:val="26"/>
          <w:rtl/>
        </w:rPr>
        <w:t xml:space="preserve"> </w:t>
      </w:r>
      <w:r w:rsidR="001A3E84" w:rsidRPr="00C0501A">
        <w:rPr>
          <w:rFonts w:cs="David" w:hint="cs"/>
          <w:sz w:val="26"/>
          <w:szCs w:val="26"/>
          <w:rtl/>
        </w:rPr>
        <w:t>אינו אפקטיבי במידה מספקת</w:t>
      </w:r>
      <w:r w:rsidR="006865BD" w:rsidRPr="00C0501A">
        <w:rPr>
          <w:rFonts w:cs="David" w:hint="cs"/>
          <w:sz w:val="26"/>
          <w:szCs w:val="26"/>
          <w:rtl/>
        </w:rPr>
        <w:t>.</w:t>
      </w:r>
      <w:r w:rsidR="00BD3F3A" w:rsidRPr="00C0501A">
        <w:rPr>
          <w:rFonts w:cs="David" w:hint="cs"/>
          <w:sz w:val="26"/>
          <w:szCs w:val="26"/>
          <w:rtl/>
        </w:rPr>
        <w:t xml:space="preserve"> </w:t>
      </w:r>
      <w:r w:rsidR="001A3E84" w:rsidRPr="00C0501A">
        <w:rPr>
          <w:rFonts w:cs="David" w:hint="cs"/>
          <w:sz w:val="26"/>
          <w:szCs w:val="26"/>
          <w:rtl/>
        </w:rPr>
        <w:t>אין ב</w:t>
      </w:r>
      <w:r w:rsidR="006865BD" w:rsidRPr="00C0501A">
        <w:rPr>
          <w:rFonts w:cs="David" w:hint="cs"/>
          <w:sz w:val="26"/>
          <w:szCs w:val="26"/>
          <w:rtl/>
        </w:rPr>
        <w:t>ו</w:t>
      </w:r>
      <w:r w:rsidR="001A3E84" w:rsidRPr="00C0501A">
        <w:rPr>
          <w:rFonts w:cs="David" w:hint="cs"/>
          <w:sz w:val="26"/>
          <w:szCs w:val="26"/>
          <w:rtl/>
        </w:rPr>
        <w:t xml:space="preserve"> כדי לייצר הרתעה שתימנע הפרות של כללי בטיחות בעבודה</w:t>
      </w:r>
      <w:r w:rsidR="00D42D9B" w:rsidRPr="00C0501A">
        <w:rPr>
          <w:rFonts w:cs="David" w:hint="cs"/>
          <w:sz w:val="26"/>
          <w:szCs w:val="26"/>
          <w:rtl/>
        </w:rPr>
        <w:t xml:space="preserve"> או של העסקת עובדים ללא הכשרות מתאימות</w:t>
      </w:r>
      <w:r w:rsidR="001A3E84" w:rsidRPr="00C0501A">
        <w:rPr>
          <w:rFonts w:cs="David" w:hint="cs"/>
          <w:sz w:val="26"/>
          <w:szCs w:val="26"/>
          <w:rtl/>
        </w:rPr>
        <w:t>.</w:t>
      </w:r>
      <w:r w:rsidR="00D42D9B" w:rsidRPr="00C0501A">
        <w:rPr>
          <w:rFonts w:cs="David" w:hint="cs"/>
          <w:sz w:val="26"/>
          <w:szCs w:val="26"/>
          <w:rtl/>
        </w:rPr>
        <w:t xml:space="preserve"> התוצאות מתבטאות לצערנו ב</w:t>
      </w:r>
      <w:r w:rsidR="00BD3F3A" w:rsidRPr="00C0501A">
        <w:rPr>
          <w:rFonts w:cs="David" w:hint="cs"/>
          <w:sz w:val="26"/>
          <w:szCs w:val="26"/>
          <w:rtl/>
        </w:rPr>
        <w:t>אובדן חיי אדם</w:t>
      </w:r>
      <w:r w:rsidR="006865BD" w:rsidRPr="00C0501A">
        <w:rPr>
          <w:rFonts w:cs="David" w:hint="cs"/>
          <w:sz w:val="26"/>
          <w:szCs w:val="26"/>
          <w:rtl/>
        </w:rPr>
        <w:t xml:space="preserve">, </w:t>
      </w:r>
      <w:r w:rsidR="00B51C2C">
        <w:rPr>
          <w:rFonts w:cs="David" w:hint="cs"/>
          <w:sz w:val="26"/>
          <w:szCs w:val="26"/>
          <w:rtl/>
        </w:rPr>
        <w:t>ומוטלת עלינו החובה</w:t>
      </w:r>
      <w:r w:rsidR="006865BD" w:rsidRPr="00C0501A">
        <w:rPr>
          <w:rFonts w:cs="David" w:hint="cs"/>
          <w:sz w:val="26"/>
          <w:szCs w:val="26"/>
          <w:rtl/>
        </w:rPr>
        <w:t xml:space="preserve"> </w:t>
      </w:r>
      <w:r w:rsidR="00BD3F3A" w:rsidRPr="00C0501A">
        <w:rPr>
          <w:rFonts w:cs="David" w:hint="cs"/>
          <w:sz w:val="26"/>
          <w:szCs w:val="26"/>
          <w:rtl/>
        </w:rPr>
        <w:t>להבטיח פיקוח ראוי ויעיל על אתרי הבנ</w:t>
      </w:r>
      <w:r>
        <w:rPr>
          <w:rFonts w:cs="David" w:hint="cs"/>
          <w:sz w:val="26"/>
          <w:szCs w:val="26"/>
          <w:rtl/>
        </w:rPr>
        <w:t>י</w:t>
      </w:r>
      <w:r w:rsidR="00BD3F3A" w:rsidRPr="00C0501A">
        <w:rPr>
          <w:rFonts w:cs="David" w:hint="cs"/>
          <w:sz w:val="26"/>
          <w:szCs w:val="26"/>
          <w:rtl/>
        </w:rPr>
        <w:t>יה</w:t>
      </w:r>
      <w:r w:rsidR="00D42D9B" w:rsidRPr="00C0501A">
        <w:rPr>
          <w:rFonts w:cs="David" w:hint="cs"/>
          <w:sz w:val="26"/>
          <w:szCs w:val="26"/>
          <w:rtl/>
        </w:rPr>
        <w:t xml:space="preserve"> ו</w:t>
      </w:r>
      <w:r w:rsidR="00BD3F3A" w:rsidRPr="00C0501A">
        <w:rPr>
          <w:rFonts w:cs="David" w:hint="cs"/>
          <w:sz w:val="26"/>
          <w:szCs w:val="26"/>
          <w:rtl/>
        </w:rPr>
        <w:t>אכיפה שתיצור הרתעה ממשית</w:t>
      </w:r>
      <w:r w:rsidR="00D42D9B" w:rsidRPr="00C0501A">
        <w:rPr>
          <w:rFonts w:cs="David" w:hint="cs"/>
          <w:sz w:val="26"/>
          <w:szCs w:val="26"/>
          <w:rtl/>
        </w:rPr>
        <w:t>.</w:t>
      </w:r>
      <w:r w:rsidR="00C245F6" w:rsidRPr="00C0501A">
        <w:rPr>
          <w:rFonts w:cs="David" w:hint="cs"/>
          <w:sz w:val="26"/>
          <w:szCs w:val="26"/>
          <w:rtl/>
        </w:rPr>
        <w:t xml:space="preserve"> </w:t>
      </w:r>
    </w:p>
    <w:p w14:paraId="2E8E4928" w14:textId="5C410002" w:rsidR="00775828" w:rsidRPr="00C0501A" w:rsidRDefault="00C245F6" w:rsidP="00775828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lastRenderedPageBreak/>
        <w:t>הצעת החוק קובעת סמכות למפקח על העבודה לתת צו להפסקת הפעילות באתר הבני</w:t>
      </w:r>
      <w:r w:rsidR="00E35925">
        <w:rPr>
          <w:rFonts w:cs="David" w:hint="cs"/>
          <w:noProof/>
          <w:sz w:val="26"/>
          <w:szCs w:val="26"/>
          <w:rtl/>
        </w:rPr>
        <w:t>י</w:t>
      </w:r>
      <w:r w:rsidRPr="00C0501A">
        <w:rPr>
          <w:rFonts w:cs="David" w:hint="cs"/>
          <w:noProof/>
          <w:sz w:val="26"/>
          <w:szCs w:val="26"/>
          <w:rtl/>
        </w:rPr>
        <w:t>ה שאירעה בו תאונת ע</w:t>
      </w:r>
      <w:r w:rsidR="00B51C2C">
        <w:rPr>
          <w:rFonts w:cs="David" w:hint="cs"/>
          <w:noProof/>
          <w:sz w:val="26"/>
          <w:szCs w:val="26"/>
          <w:rtl/>
        </w:rPr>
        <w:t>ב</w:t>
      </w:r>
      <w:r w:rsidRPr="00C0501A">
        <w:rPr>
          <w:rFonts w:cs="David" w:hint="cs"/>
          <w:noProof/>
          <w:sz w:val="26"/>
          <w:szCs w:val="26"/>
          <w:rtl/>
        </w:rPr>
        <w:t>ודה שהביאה למות אדם או לפציעתו הקשה, למשך 5 ימים</w:t>
      </w:r>
      <w:r w:rsidR="00B51C2C">
        <w:rPr>
          <w:rFonts w:cs="David" w:hint="cs"/>
          <w:noProof/>
          <w:sz w:val="26"/>
          <w:szCs w:val="26"/>
          <w:rtl/>
        </w:rPr>
        <w:t>,</w:t>
      </w:r>
      <w:r w:rsidR="006865BD" w:rsidRPr="00C0501A">
        <w:rPr>
          <w:rFonts w:cs="David" w:hint="cs"/>
          <w:noProof/>
          <w:sz w:val="26"/>
          <w:szCs w:val="26"/>
          <w:rtl/>
        </w:rPr>
        <w:t xml:space="preserve"> וכן סמכות לחייב</w:t>
      </w:r>
      <w:r w:rsidR="00775828" w:rsidRPr="00C0501A">
        <w:rPr>
          <w:rFonts w:cs="David" w:hint="cs"/>
          <w:noProof/>
          <w:sz w:val="26"/>
          <w:szCs w:val="26"/>
          <w:rtl/>
        </w:rPr>
        <w:t xml:space="preserve"> את מחזיק מקום העבודה לנקוט אמצעים להרחקת הסכנה. </w:t>
      </w:r>
    </w:p>
    <w:p w14:paraId="333BDE32" w14:textId="7ACE7B01" w:rsidR="002E7A39" w:rsidRPr="00C0501A" w:rsidRDefault="00775828" w:rsidP="00775828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t>הצעת החוק מאפשרת למפקח העבודה לתת צו להפסקת פעילות באתר בני</w:t>
      </w:r>
      <w:r w:rsidR="00E35925">
        <w:rPr>
          <w:rFonts w:cs="David" w:hint="cs"/>
          <w:noProof/>
          <w:sz w:val="26"/>
          <w:szCs w:val="26"/>
          <w:rtl/>
        </w:rPr>
        <w:t>י</w:t>
      </w:r>
      <w:r w:rsidRPr="00C0501A">
        <w:rPr>
          <w:rFonts w:cs="David" w:hint="cs"/>
          <w:noProof/>
          <w:sz w:val="26"/>
          <w:szCs w:val="26"/>
          <w:rtl/>
        </w:rPr>
        <w:t xml:space="preserve">ה באופן מיידי, ובתנאי שהיתה למחזיק מקום העבודה הזדמנות לטעון </w:t>
      </w:r>
      <w:r w:rsidR="00E35925">
        <w:rPr>
          <w:rFonts w:cs="David" w:hint="cs"/>
          <w:noProof/>
          <w:sz w:val="26"/>
          <w:szCs w:val="26"/>
          <w:rtl/>
        </w:rPr>
        <w:t xml:space="preserve">את </w:t>
      </w:r>
      <w:r w:rsidRPr="00C0501A">
        <w:rPr>
          <w:rFonts w:cs="David" w:hint="cs"/>
          <w:noProof/>
          <w:sz w:val="26"/>
          <w:szCs w:val="26"/>
          <w:rtl/>
        </w:rPr>
        <w:t>טענותיו בתוך זמן סביר לאחר מתן הצו.</w:t>
      </w:r>
    </w:p>
    <w:p w14:paraId="15719C83" w14:textId="4FAD10FF" w:rsidR="00C245F6" w:rsidRPr="00C0501A" w:rsidRDefault="002E7A39" w:rsidP="00B51C2C">
      <w:pPr>
        <w:spacing w:line="360" w:lineRule="auto"/>
        <w:rPr>
          <w:rFonts w:cs="David"/>
          <w:noProof/>
          <w:sz w:val="26"/>
          <w:szCs w:val="26"/>
          <w:rtl/>
        </w:rPr>
      </w:pPr>
      <w:r w:rsidRPr="00C0501A">
        <w:rPr>
          <w:rFonts w:cs="David" w:hint="cs"/>
          <w:noProof/>
          <w:sz w:val="26"/>
          <w:szCs w:val="26"/>
          <w:rtl/>
        </w:rPr>
        <w:t xml:space="preserve">לבסוף, מטילה הצעת החוק חובה על משטרת ישראל לדווח למפקח עבודה ראשי במקרה של תאונת עבודה שגרמה למותו או לפציעתו הקשה של אדם. בכך, ישתפר מנגנון הדיווח והחלפת הידע </w:t>
      </w:r>
      <w:r w:rsidR="00B51C2C">
        <w:rPr>
          <w:rFonts w:cs="David" w:hint="cs"/>
          <w:noProof/>
          <w:sz w:val="26"/>
          <w:szCs w:val="26"/>
          <w:rtl/>
        </w:rPr>
        <w:t>ב</w:t>
      </w:r>
      <w:r w:rsidR="00B51C2C" w:rsidRPr="00C0501A">
        <w:rPr>
          <w:rFonts w:cs="David" w:hint="cs"/>
          <w:noProof/>
          <w:sz w:val="26"/>
          <w:szCs w:val="26"/>
          <w:rtl/>
        </w:rPr>
        <w:t xml:space="preserve">ין </w:t>
      </w:r>
      <w:r w:rsidRPr="00C0501A">
        <w:rPr>
          <w:rFonts w:cs="David" w:hint="cs"/>
          <w:noProof/>
          <w:sz w:val="26"/>
          <w:szCs w:val="26"/>
          <w:rtl/>
        </w:rPr>
        <w:t xml:space="preserve">הגורמים הרלוונטיים המרכיבים את שרשרת הטיפול המדינתי במקרים של תאונת עבודה. 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5E51DD0F" w14:textId="3AD1722E" w:rsidR="00E35925" w:rsidRDefault="00E35925" w:rsidP="00E13C27">
      <w:pPr>
        <w:pStyle w:val="Hesber"/>
        <w:rPr>
          <w:rtl/>
        </w:rPr>
      </w:pPr>
      <w:bookmarkStart w:id="8" w:name="_GoBack"/>
      <w:bookmarkEnd w:id="8"/>
    </w:p>
    <w:p w14:paraId="6976DD52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101579D2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2EF1767" w14:textId="77777777" w:rsidR="00E35925" w:rsidRPr="00D73212" w:rsidRDefault="00E35925" w:rsidP="00E35925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961810A" w14:textId="77777777" w:rsidR="00E35925" w:rsidRPr="00317312" w:rsidRDefault="00E35925" w:rsidP="00E35925">
      <w:pPr>
        <w:pStyle w:val="Hesber"/>
      </w:pPr>
      <w:r>
        <w:rPr>
          <w:rFonts w:hint="cs"/>
          <w:color w:val="auto"/>
          <w:rtl/>
          <w:lang w:eastAsia="en-US"/>
        </w:rPr>
        <w:t>י"א באדר ב'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21.3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6</w:t>
      </w:r>
    </w:p>
    <w:p w14:paraId="27386D9A" w14:textId="77777777" w:rsidR="00E35925" w:rsidRPr="00BD3F3A" w:rsidRDefault="00E35925" w:rsidP="00E13C27">
      <w:pPr>
        <w:pStyle w:val="Hesber"/>
        <w:rPr>
          <w:rtl/>
        </w:rPr>
      </w:pPr>
    </w:p>
    <w:sectPr w:rsidR="00E35925" w:rsidRPr="00BD3F3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a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7F6961D6" w14:textId="77777777" w:rsidR="002C3041" w:rsidRDefault="002C304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a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 w:rsidR="00E35925">
      <w:rPr>
        <w:rStyle w:val="ac"/>
        <w:noProof/>
        <w:rtl/>
      </w:rPr>
      <w:t>3</w:t>
    </w:r>
    <w:r>
      <w:rPr>
        <w:rStyle w:val="ac"/>
        <w:rtl/>
      </w:rPr>
      <w:fldChar w:fldCharType="end"/>
    </w:r>
  </w:p>
  <w:p w14:paraId="7F6961D8" w14:textId="77777777" w:rsidR="002C3041" w:rsidRDefault="002C30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306131A5" w14:textId="77777777" w:rsidR="00C7576C" w:rsidRDefault="00C7576C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התשי"ד, עמ' 202.</w:t>
      </w:r>
    </w:p>
  </w:footnote>
  <w:footnote w:id="3">
    <w:p w14:paraId="7255C947" w14:textId="77777777" w:rsidR="00F05377" w:rsidRDefault="00F05377" w:rsidP="00F05377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226.</w:t>
      </w:r>
    </w:p>
  </w:footnote>
  <w:footnote w:id="4">
    <w:p w14:paraId="6202E498" w14:textId="30080F64" w:rsidR="00F05377" w:rsidRDefault="00F05377" w:rsidP="00E35925">
      <w:pPr>
        <w:pStyle w:val="a5"/>
      </w:pPr>
      <w:r>
        <w:rPr>
          <w:rStyle w:val="a7"/>
        </w:rPr>
        <w:footnoteRef/>
      </w:r>
      <w:r w:rsidR="004A395E">
        <w:rPr>
          <w:rFonts w:hint="cs"/>
          <w:rtl/>
        </w:rPr>
        <w:t xml:space="preserve"> ע</w:t>
      </w:r>
      <w:r w:rsidR="004A395E">
        <w:rPr>
          <w:rtl/>
        </w:rPr>
        <w:t xml:space="preserve">"ר </w:t>
      </w:r>
      <w:r w:rsidR="00E35925">
        <w:rPr>
          <w:rFonts w:hint="cs"/>
          <w:rtl/>
        </w:rPr>
        <w:t>1945</w:t>
      </w:r>
      <w:r w:rsidR="004A395E">
        <w:rPr>
          <w:rFonts w:hint="cs"/>
          <w:rtl/>
        </w:rPr>
        <w:t xml:space="preserve">, </w:t>
      </w:r>
      <w:r w:rsidR="004A395E" w:rsidRPr="004A395E">
        <w:rPr>
          <w:rtl/>
        </w:rPr>
        <w:t>תוס' 1, עמ' (ע) 62, (א) 80</w:t>
      </w:r>
      <w:r w:rsidR="004A395E">
        <w:rPr>
          <w:rFonts w:hint="cs"/>
          <w:rtl/>
        </w:rPr>
        <w:t>.</w:t>
      </w:r>
      <w:r>
        <w:rPr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1324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5211"/>
    <w:rsid w:val="00152609"/>
    <w:rsid w:val="00153E1B"/>
    <w:rsid w:val="001A0623"/>
    <w:rsid w:val="001A3E84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B32"/>
    <w:rsid w:val="002C2E29"/>
    <w:rsid w:val="002C3041"/>
    <w:rsid w:val="002D1EE3"/>
    <w:rsid w:val="002E7A39"/>
    <w:rsid w:val="002F1D80"/>
    <w:rsid w:val="003232A2"/>
    <w:rsid w:val="003242FC"/>
    <w:rsid w:val="00325C14"/>
    <w:rsid w:val="0036422C"/>
    <w:rsid w:val="003710F6"/>
    <w:rsid w:val="00386E88"/>
    <w:rsid w:val="00396585"/>
    <w:rsid w:val="003A26C5"/>
    <w:rsid w:val="003B1AE5"/>
    <w:rsid w:val="003D6E38"/>
    <w:rsid w:val="003D74A0"/>
    <w:rsid w:val="004033D8"/>
    <w:rsid w:val="004073F0"/>
    <w:rsid w:val="00412A7D"/>
    <w:rsid w:val="00416B4D"/>
    <w:rsid w:val="00417CFC"/>
    <w:rsid w:val="00475B31"/>
    <w:rsid w:val="004A06DC"/>
    <w:rsid w:val="004A395E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14E39"/>
    <w:rsid w:val="0062674B"/>
    <w:rsid w:val="006363B2"/>
    <w:rsid w:val="00644940"/>
    <w:rsid w:val="006818A9"/>
    <w:rsid w:val="006865BD"/>
    <w:rsid w:val="006A2D81"/>
    <w:rsid w:val="006C1D0D"/>
    <w:rsid w:val="0070601E"/>
    <w:rsid w:val="00712C72"/>
    <w:rsid w:val="00735FE9"/>
    <w:rsid w:val="00763CAA"/>
    <w:rsid w:val="00765F66"/>
    <w:rsid w:val="00775828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3F05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51C2C"/>
    <w:rsid w:val="00B733A7"/>
    <w:rsid w:val="00B75C91"/>
    <w:rsid w:val="00B975AD"/>
    <w:rsid w:val="00BC45FB"/>
    <w:rsid w:val="00BD3F3A"/>
    <w:rsid w:val="00BF148D"/>
    <w:rsid w:val="00C0501A"/>
    <w:rsid w:val="00C23B1A"/>
    <w:rsid w:val="00C245F6"/>
    <w:rsid w:val="00C310EB"/>
    <w:rsid w:val="00C668FE"/>
    <w:rsid w:val="00C7576C"/>
    <w:rsid w:val="00C9176A"/>
    <w:rsid w:val="00CF1AA2"/>
    <w:rsid w:val="00D17774"/>
    <w:rsid w:val="00D42D9B"/>
    <w:rsid w:val="00D5317F"/>
    <w:rsid w:val="00D63620"/>
    <w:rsid w:val="00D8410D"/>
    <w:rsid w:val="00D867D7"/>
    <w:rsid w:val="00DB7060"/>
    <w:rsid w:val="00DD7D89"/>
    <w:rsid w:val="00DE3153"/>
    <w:rsid w:val="00E06736"/>
    <w:rsid w:val="00E13C27"/>
    <w:rsid w:val="00E33BBD"/>
    <w:rsid w:val="00E35925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05377"/>
    <w:rsid w:val="00F12980"/>
    <w:rsid w:val="00F628D6"/>
    <w:rsid w:val="00F67051"/>
    <w:rsid w:val="00F86A1E"/>
    <w:rsid w:val="00FA07B7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E9B3387-68D8-42B8-AF3B-C9FDE52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5">
    <w:name w:val="footnote text"/>
    <w:basedOn w:val="a"/>
    <w:link w:val="a6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7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8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9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b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c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d">
    <w:name w:val="Balloon Text"/>
    <w:basedOn w:val="a"/>
    <w:link w:val="ae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6">
    <w:name w:val="טקסט הערת שוליים תו"/>
    <w:basedOn w:val="a0"/>
    <w:link w:val="a5"/>
    <w:semiHidden/>
    <w:rsid w:val="00C7576C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a4">
    <w:name w:val="טקסט הערת סיום תו"/>
    <w:basedOn w:val="a0"/>
    <w:link w:val="a3"/>
    <w:semiHidden/>
    <w:rsid w:val="00C7576C"/>
    <w:rPr>
      <w:rFonts w:ascii="Hadasa Roso SL" w:hAnsi="Hadasa Roso SL" w:cs="Hadasa Roso SL"/>
      <w:color w:val="000000"/>
      <w:spacing w:val="1"/>
      <w:sz w:val="1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816363-0DC4-43D2-8152-1CF4DCD7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603910-5232-47E9-8BD4-AF643C38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543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14</cp:revision>
  <cp:lastPrinted>2016-03-16T09:24:00Z</cp:lastPrinted>
  <dcterms:created xsi:type="dcterms:W3CDTF">2015-04-20T09:58:00Z</dcterms:created>
  <dcterms:modified xsi:type="dcterms:W3CDTF">2016-03-16T09:24:00Z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577557</vt:r8>
  </property>
</Properties>
</file>