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564964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יאיר לפיד</w:t>
      </w:r>
      <w:r>
        <w:br/>
      </w:r>
      <w:r>
        <w:rPr>
          <w:rFonts w:hint="cs"/>
          <w:b/>
          <w:bCs/>
          <w:rtl/>
        </w:rPr>
        <w:t xml:space="preserve"> </w:t>
      </w:r>
      <w:r>
        <w:tab/>
      </w:r>
      <w:r>
        <w:tab/>
      </w:r>
      <w:r>
        <w:tab/>
      </w:r>
      <w:r>
        <w:tab/>
      </w:r>
      <w:r>
        <w:rPr>
          <w:rFonts w:hint="cs"/>
          <w:b/>
          <w:bCs/>
          <w:rtl/>
        </w:rPr>
        <w:t>אלי אלאלוף</w:t>
      </w:r>
      <w:r>
        <w:br/>
      </w:r>
      <w:r>
        <w:rPr>
          <w:rFonts w:hint="cs"/>
          <w:b/>
          <w:bCs/>
          <w:rtl/>
        </w:rPr>
        <w:t xml:space="preserve"> </w:t>
      </w:r>
      <w:r>
        <w:tab/>
      </w:r>
      <w:r>
        <w:tab/>
      </w:r>
      <w:r>
        <w:tab/>
      </w:r>
      <w:r>
        <w:tab/>
      </w:r>
      <w:r>
        <w:rPr>
          <w:rFonts w:hint="cs"/>
          <w:b/>
          <w:bCs/>
          <w:rtl/>
        </w:rPr>
        <w:t>יעל גרמן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47B78201"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C220BE">
        <w:rPr>
          <w:rFonts w:hint="cs"/>
          <w:rtl/>
        </w:rPr>
        <w:tab/>
        <w:t>פ/2675/20</w:t>
      </w:r>
      <w:r w:rsidR="00904591">
        <w:t xml:space="preserve">           </w:t>
      </w:r>
    </w:p>
    <w:p w14:paraId="7F6961AC" w14:textId="4809B82A" w:rsidR="00E13C27" w:rsidRDefault="00904591" w:rsidP="003D5A9A">
      <w:pPr>
        <w:pStyle w:val="David"/>
        <w:spacing w:before="0" w:line="240" w:lineRule="auto"/>
        <w:ind w:left="3544"/>
        <w:rPr>
          <w:rtl/>
        </w:rPr>
      </w:pPr>
      <w:r>
        <w:t xml:space="preserve">                                        </w:t>
      </w:r>
    </w:p>
    <w:p w14:paraId="7F6961AE" w14:textId="4CC7DAF6" w:rsidR="00E13C27" w:rsidRDefault="00A443CF" w:rsidP="00E87C00">
      <w:pPr>
        <w:pStyle w:val="HeadHatzaotHok"/>
        <w:rPr>
          <w:rtl/>
        </w:rPr>
      </w:pPr>
      <w:bookmarkStart w:id="6" w:name="LGS_Subject"/>
      <w:r>
        <w:rPr>
          <w:rFonts w:hint="cs"/>
          <w:rtl/>
        </w:rPr>
        <w:t xml:space="preserve">הצעת חוק השתלת אברים (תיקון – הפנייה להסכמה לתרומת אברים בטפסים מקוונים), </w:t>
      </w:r>
      <w:r w:rsidR="00865B51">
        <w:rPr>
          <w:rtl/>
        </w:rPr>
        <w:br/>
      </w:r>
      <w:r>
        <w:rPr>
          <w:rFonts w:hint="cs"/>
          <w:rtl/>
        </w:rPr>
        <w:t>התשע"ו–2016</w:t>
      </w:r>
      <w:bookmarkEnd w:id="6"/>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BE6DE0" w14:paraId="3D9B61D1" w14:textId="77777777" w:rsidTr="00BE6DE0">
        <w:trPr>
          <w:cantSplit/>
          <w:trHeight w:val="60"/>
        </w:trPr>
        <w:tc>
          <w:tcPr>
            <w:tcW w:w="1871" w:type="dxa"/>
          </w:tcPr>
          <w:p w14:paraId="6C0CB9D8" w14:textId="56315EDB" w:rsidR="00BE6DE0" w:rsidRDefault="00BE6DE0" w:rsidP="002C3041">
            <w:pPr>
              <w:pStyle w:val="TableSideHeading"/>
              <w:keepLines w:val="0"/>
            </w:pPr>
            <w:r>
              <w:rPr>
                <w:rFonts w:hint="cs"/>
                <w:rtl/>
              </w:rPr>
              <w:t>תיקון סעיף 28</w:t>
            </w:r>
          </w:p>
        </w:tc>
        <w:tc>
          <w:tcPr>
            <w:tcW w:w="624" w:type="dxa"/>
          </w:tcPr>
          <w:p w14:paraId="3F4286A2" w14:textId="3F10D059" w:rsidR="00BE6DE0" w:rsidRDefault="00BE6DE0" w:rsidP="002C3041">
            <w:pPr>
              <w:pStyle w:val="TableText"/>
              <w:keepLines w:val="0"/>
            </w:pPr>
            <w:r>
              <w:rPr>
                <w:rFonts w:hint="cs"/>
                <w:rtl/>
              </w:rPr>
              <w:t>1.</w:t>
            </w:r>
          </w:p>
        </w:tc>
        <w:tc>
          <w:tcPr>
            <w:tcW w:w="7146" w:type="dxa"/>
          </w:tcPr>
          <w:p w14:paraId="7633D5BB" w14:textId="6603315C" w:rsidR="00BE6DE0" w:rsidRPr="00C34DE2" w:rsidRDefault="00BE6DE0" w:rsidP="00BE6DE0">
            <w:pPr>
              <w:pStyle w:val="TableBlock"/>
            </w:pPr>
            <w:r>
              <w:rPr>
                <w:rFonts w:hint="cs"/>
                <w:rtl/>
              </w:rPr>
              <w:t>בחוק השתלת אברים, התשס"ח–2008</w:t>
            </w:r>
            <w:r>
              <w:rPr>
                <w:rStyle w:val="a6"/>
                <w:rtl/>
              </w:rPr>
              <w:footnoteReference w:id="2"/>
            </w:r>
            <w:r w:rsidR="00C220BE">
              <w:rPr>
                <w:rFonts w:hint="cs"/>
                <w:rtl/>
              </w:rPr>
              <w:t xml:space="preserve"> </w:t>
            </w:r>
            <w:r w:rsidR="003D5A9A">
              <w:rPr>
                <w:rFonts w:hint="cs"/>
                <w:rtl/>
              </w:rPr>
              <w:t xml:space="preserve">(להלן </w:t>
            </w:r>
            <w:r w:rsidR="003D5A9A">
              <w:rPr>
                <w:rFonts w:hint="eastAsia"/>
                <w:rtl/>
              </w:rPr>
              <w:t xml:space="preserve">– </w:t>
            </w:r>
            <w:r w:rsidR="003D5A9A">
              <w:rPr>
                <w:rFonts w:hint="cs"/>
                <w:rtl/>
              </w:rPr>
              <w:t>החוק העיקרי)</w:t>
            </w:r>
            <w:r>
              <w:rPr>
                <w:rFonts w:hint="cs"/>
                <w:rtl/>
              </w:rPr>
              <w:t xml:space="preserve">, בסעיף 28(א), בסופו יבוא "בכלל זה, יקבע המנהל כאמור אפשרות להפנות למתן הסכמה באופן מקוון מתוך טפסים מקוונים של משרדי הממשלה, תאגידים סטטוטוריים ורשויות מקומיות." </w:t>
            </w:r>
          </w:p>
        </w:tc>
      </w:tr>
      <w:tr w:rsidR="00BE6DE0" w14:paraId="1E3F3805" w14:textId="77777777" w:rsidTr="00BE6DE0">
        <w:trPr>
          <w:cantSplit/>
          <w:trHeight w:val="60"/>
        </w:trPr>
        <w:tc>
          <w:tcPr>
            <w:tcW w:w="1871" w:type="dxa"/>
          </w:tcPr>
          <w:p w14:paraId="0A36117A" w14:textId="57576BB8" w:rsidR="00BE6DE0" w:rsidRDefault="003D5A9A" w:rsidP="002C3041">
            <w:pPr>
              <w:pStyle w:val="TableSideHeading"/>
              <w:keepLines w:val="0"/>
              <w:rPr>
                <w:rtl/>
              </w:rPr>
            </w:pPr>
            <w:r>
              <w:rPr>
                <w:rFonts w:hint="cs"/>
                <w:rtl/>
              </w:rPr>
              <w:t>הוראת מעבר</w:t>
            </w:r>
          </w:p>
        </w:tc>
        <w:tc>
          <w:tcPr>
            <w:tcW w:w="624" w:type="dxa"/>
          </w:tcPr>
          <w:p w14:paraId="57492C3E" w14:textId="456D9B1E" w:rsidR="00BE6DE0" w:rsidRDefault="00BE6DE0" w:rsidP="00BE6DE0">
            <w:pPr>
              <w:pStyle w:val="TableText"/>
              <w:rPr>
                <w:rtl/>
              </w:rPr>
            </w:pPr>
            <w:r>
              <w:rPr>
                <w:rFonts w:hint="cs"/>
                <w:rtl/>
              </w:rPr>
              <w:t>2</w:t>
            </w:r>
            <w:r w:rsidR="003D5A9A">
              <w:rPr>
                <w:rFonts w:hint="cs"/>
                <w:rtl/>
              </w:rPr>
              <w:t>.</w:t>
            </w:r>
          </w:p>
        </w:tc>
        <w:tc>
          <w:tcPr>
            <w:tcW w:w="7146" w:type="dxa"/>
          </w:tcPr>
          <w:p w14:paraId="2D3325D5" w14:textId="7B81EBAD" w:rsidR="00BE6DE0" w:rsidRDefault="00BE6DE0" w:rsidP="00C76F81">
            <w:pPr>
              <w:pStyle w:val="TableBlock"/>
              <w:rPr>
                <w:rtl/>
              </w:rPr>
            </w:pPr>
            <w:r>
              <w:rPr>
                <w:rFonts w:hint="cs"/>
                <w:rtl/>
              </w:rPr>
              <w:t>ב</w:t>
            </w:r>
            <w:r w:rsidR="00C76F81">
              <w:rPr>
                <w:rFonts w:hint="cs"/>
                <w:rtl/>
              </w:rPr>
              <w:t>תוך שלושה חודשים מיום פרסומו של חוק זה, תיכלל לראשונה ב</w:t>
            </w:r>
            <w:r w:rsidR="003D5A9A">
              <w:rPr>
                <w:rFonts w:hint="cs"/>
                <w:rtl/>
              </w:rPr>
              <w:t xml:space="preserve">טפסים המנויים להלן </w:t>
            </w:r>
            <w:r>
              <w:rPr>
                <w:rFonts w:hint="cs"/>
                <w:rtl/>
              </w:rPr>
              <w:t xml:space="preserve">אפשרות למתן הסכמה </w:t>
            </w:r>
            <w:r w:rsidR="003D5A9A">
              <w:rPr>
                <w:rFonts w:hint="cs"/>
                <w:rtl/>
              </w:rPr>
              <w:t>באופן מקוון לפי סעיף 28(א) לחוק העיקרי</w:t>
            </w:r>
            <w:r w:rsidR="00865B51">
              <w:rPr>
                <w:rFonts w:hint="cs"/>
                <w:rtl/>
              </w:rPr>
              <w:t>,</w:t>
            </w:r>
            <w:r w:rsidR="00C220BE">
              <w:rPr>
                <w:rFonts w:hint="cs"/>
                <w:rtl/>
              </w:rPr>
              <w:t xml:space="preserve"> כנוסחו בסעיף 1 ל</w:t>
            </w:r>
            <w:r w:rsidR="003D5A9A">
              <w:rPr>
                <w:rFonts w:hint="cs"/>
                <w:rtl/>
              </w:rPr>
              <w:t>חוק זה</w:t>
            </w:r>
            <w:r w:rsidR="00C76F81">
              <w:rPr>
                <w:rFonts w:hint="cs"/>
                <w:rtl/>
              </w:rPr>
              <w:t>:</w:t>
            </w:r>
          </w:p>
        </w:tc>
      </w:tr>
      <w:tr w:rsidR="001F3B68" w14:paraId="370CD3D7" w14:textId="77777777" w:rsidTr="00BE6DE0">
        <w:trPr>
          <w:cantSplit/>
          <w:trHeight w:val="60"/>
        </w:trPr>
        <w:tc>
          <w:tcPr>
            <w:tcW w:w="1871" w:type="dxa"/>
          </w:tcPr>
          <w:p w14:paraId="5A9448BD" w14:textId="77777777" w:rsidR="001F3B68" w:rsidRDefault="001F3B68" w:rsidP="002C3041">
            <w:pPr>
              <w:pStyle w:val="TableSideHeading"/>
              <w:keepLines w:val="0"/>
              <w:rPr>
                <w:rtl/>
              </w:rPr>
            </w:pPr>
          </w:p>
        </w:tc>
        <w:tc>
          <w:tcPr>
            <w:tcW w:w="624" w:type="dxa"/>
          </w:tcPr>
          <w:p w14:paraId="05B76CDB" w14:textId="77777777" w:rsidR="001F3B68" w:rsidRDefault="001F3B68" w:rsidP="001F3B68">
            <w:pPr>
              <w:pStyle w:val="TableText"/>
              <w:rPr>
                <w:rtl/>
              </w:rPr>
            </w:pPr>
          </w:p>
        </w:tc>
        <w:tc>
          <w:tcPr>
            <w:tcW w:w="7146" w:type="dxa"/>
          </w:tcPr>
          <w:p w14:paraId="68D7BA24" w14:textId="212A6EE8" w:rsidR="001F3B68" w:rsidRDefault="001F3B68" w:rsidP="00865B51">
            <w:pPr>
              <w:pStyle w:val="TableBlock"/>
              <w:rPr>
                <w:rtl/>
              </w:rPr>
            </w:pPr>
            <w:r>
              <w:rPr>
                <w:rFonts w:hint="cs"/>
                <w:rtl/>
              </w:rPr>
              <w:t>(</w:t>
            </w:r>
            <w:r w:rsidR="00865B51">
              <w:rPr>
                <w:rFonts w:hint="cs"/>
                <w:rtl/>
              </w:rPr>
              <w:t>1</w:t>
            </w:r>
            <w:r>
              <w:rPr>
                <w:rFonts w:hint="cs"/>
                <w:rtl/>
              </w:rPr>
              <w:t xml:space="preserve">) </w:t>
            </w:r>
            <w:r>
              <w:rPr>
                <w:rtl/>
              </w:rPr>
              <w:tab/>
            </w:r>
            <w:r>
              <w:rPr>
                <w:rFonts w:hint="cs"/>
                <w:rtl/>
              </w:rPr>
              <w:t>טופס בקשה לקבלת תעודת זהות או חידושה;</w:t>
            </w:r>
          </w:p>
        </w:tc>
      </w:tr>
      <w:tr w:rsidR="001F3B68" w14:paraId="6029AC21" w14:textId="77777777" w:rsidTr="00BE6DE0">
        <w:trPr>
          <w:cantSplit/>
          <w:trHeight w:val="60"/>
        </w:trPr>
        <w:tc>
          <w:tcPr>
            <w:tcW w:w="1871" w:type="dxa"/>
          </w:tcPr>
          <w:p w14:paraId="4283A1A7" w14:textId="77777777" w:rsidR="001F3B68" w:rsidRDefault="001F3B68" w:rsidP="002C3041">
            <w:pPr>
              <w:pStyle w:val="TableSideHeading"/>
              <w:keepLines w:val="0"/>
              <w:rPr>
                <w:rtl/>
              </w:rPr>
            </w:pPr>
          </w:p>
        </w:tc>
        <w:tc>
          <w:tcPr>
            <w:tcW w:w="624" w:type="dxa"/>
          </w:tcPr>
          <w:p w14:paraId="4EDD5C02" w14:textId="77777777" w:rsidR="001F3B68" w:rsidRDefault="001F3B68" w:rsidP="001F3B68">
            <w:pPr>
              <w:pStyle w:val="TableText"/>
              <w:rPr>
                <w:rtl/>
              </w:rPr>
            </w:pPr>
          </w:p>
        </w:tc>
        <w:tc>
          <w:tcPr>
            <w:tcW w:w="7146" w:type="dxa"/>
          </w:tcPr>
          <w:p w14:paraId="1D1F987D" w14:textId="2A373FEA" w:rsidR="001F3B68" w:rsidRDefault="001F3B68" w:rsidP="00865B51">
            <w:pPr>
              <w:pStyle w:val="TableBlock"/>
              <w:rPr>
                <w:rtl/>
              </w:rPr>
            </w:pPr>
            <w:r>
              <w:rPr>
                <w:rFonts w:hint="cs"/>
                <w:rtl/>
              </w:rPr>
              <w:t>(</w:t>
            </w:r>
            <w:r w:rsidR="00865B51">
              <w:rPr>
                <w:rFonts w:hint="cs"/>
                <w:rtl/>
              </w:rPr>
              <w:t>2</w:t>
            </w:r>
            <w:r>
              <w:rPr>
                <w:rFonts w:hint="cs"/>
                <w:rtl/>
              </w:rPr>
              <w:t xml:space="preserve">) </w:t>
            </w:r>
            <w:r>
              <w:rPr>
                <w:rtl/>
              </w:rPr>
              <w:tab/>
            </w:r>
            <w:r>
              <w:rPr>
                <w:rFonts w:hint="cs"/>
                <w:rtl/>
              </w:rPr>
              <w:t>טופס בקשה לקבלת דרכון או חידושו;</w:t>
            </w:r>
          </w:p>
        </w:tc>
      </w:tr>
      <w:tr w:rsidR="001F3B68" w14:paraId="76683437" w14:textId="77777777" w:rsidTr="00BE6DE0">
        <w:trPr>
          <w:cantSplit/>
          <w:trHeight w:val="60"/>
        </w:trPr>
        <w:tc>
          <w:tcPr>
            <w:tcW w:w="1871" w:type="dxa"/>
          </w:tcPr>
          <w:p w14:paraId="146150BB" w14:textId="77777777" w:rsidR="001F3B68" w:rsidRDefault="001F3B68" w:rsidP="002C3041">
            <w:pPr>
              <w:pStyle w:val="TableSideHeading"/>
              <w:keepLines w:val="0"/>
              <w:rPr>
                <w:rtl/>
              </w:rPr>
            </w:pPr>
          </w:p>
        </w:tc>
        <w:tc>
          <w:tcPr>
            <w:tcW w:w="624" w:type="dxa"/>
          </w:tcPr>
          <w:p w14:paraId="7462CB94" w14:textId="77777777" w:rsidR="001F3B68" w:rsidRDefault="001F3B68" w:rsidP="001F3B68">
            <w:pPr>
              <w:pStyle w:val="TableText"/>
              <w:rPr>
                <w:rtl/>
              </w:rPr>
            </w:pPr>
          </w:p>
        </w:tc>
        <w:tc>
          <w:tcPr>
            <w:tcW w:w="7146" w:type="dxa"/>
          </w:tcPr>
          <w:p w14:paraId="0D28EF12" w14:textId="373DF3B2" w:rsidR="001F3B68" w:rsidRDefault="001F3B68" w:rsidP="00865B51">
            <w:pPr>
              <w:pStyle w:val="TableBlock"/>
              <w:rPr>
                <w:rtl/>
              </w:rPr>
            </w:pPr>
            <w:r>
              <w:rPr>
                <w:rFonts w:hint="cs"/>
                <w:rtl/>
              </w:rPr>
              <w:t>(</w:t>
            </w:r>
            <w:r w:rsidR="00865B51">
              <w:rPr>
                <w:rFonts w:hint="cs"/>
                <w:rtl/>
              </w:rPr>
              <w:t>3</w:t>
            </w:r>
            <w:r>
              <w:rPr>
                <w:rFonts w:hint="cs"/>
                <w:rtl/>
              </w:rPr>
              <w:t xml:space="preserve">) </w:t>
            </w:r>
            <w:r>
              <w:rPr>
                <w:rtl/>
              </w:rPr>
              <w:tab/>
            </w:r>
            <w:r>
              <w:rPr>
                <w:rFonts w:hint="cs"/>
                <w:rtl/>
              </w:rPr>
              <w:t>טופס תשלום אגרת רישיון נהיגה;</w:t>
            </w:r>
          </w:p>
        </w:tc>
      </w:tr>
      <w:tr w:rsidR="001F3B68" w14:paraId="2421FA20" w14:textId="77777777" w:rsidTr="00BE6DE0">
        <w:trPr>
          <w:cantSplit/>
          <w:trHeight w:val="60"/>
        </w:trPr>
        <w:tc>
          <w:tcPr>
            <w:tcW w:w="1871" w:type="dxa"/>
          </w:tcPr>
          <w:p w14:paraId="017C5E70" w14:textId="77777777" w:rsidR="001F3B68" w:rsidRDefault="001F3B68" w:rsidP="002C3041">
            <w:pPr>
              <w:pStyle w:val="TableSideHeading"/>
              <w:keepLines w:val="0"/>
              <w:rPr>
                <w:rtl/>
              </w:rPr>
            </w:pPr>
          </w:p>
        </w:tc>
        <w:tc>
          <w:tcPr>
            <w:tcW w:w="624" w:type="dxa"/>
          </w:tcPr>
          <w:p w14:paraId="1B3FAB3B" w14:textId="77777777" w:rsidR="001F3B68" w:rsidRDefault="001F3B68" w:rsidP="001F3B68">
            <w:pPr>
              <w:pStyle w:val="TableText"/>
              <w:rPr>
                <w:rtl/>
              </w:rPr>
            </w:pPr>
          </w:p>
        </w:tc>
        <w:tc>
          <w:tcPr>
            <w:tcW w:w="7146" w:type="dxa"/>
          </w:tcPr>
          <w:p w14:paraId="7498C748" w14:textId="20DCB06E" w:rsidR="001F3B68" w:rsidRDefault="001F3B68" w:rsidP="00865B51">
            <w:pPr>
              <w:pStyle w:val="TableBlock"/>
              <w:rPr>
                <w:rtl/>
              </w:rPr>
            </w:pPr>
            <w:r>
              <w:rPr>
                <w:rFonts w:hint="cs"/>
                <w:rtl/>
              </w:rPr>
              <w:t>(</w:t>
            </w:r>
            <w:r w:rsidR="00865B51">
              <w:rPr>
                <w:rFonts w:hint="cs"/>
                <w:rtl/>
              </w:rPr>
              <w:t>4</w:t>
            </w:r>
            <w:r>
              <w:rPr>
                <w:rFonts w:hint="cs"/>
                <w:rtl/>
              </w:rPr>
              <w:t xml:space="preserve">) </w:t>
            </w:r>
            <w:r>
              <w:rPr>
                <w:rtl/>
              </w:rPr>
              <w:tab/>
            </w:r>
            <w:r>
              <w:rPr>
                <w:rFonts w:hint="cs"/>
                <w:rtl/>
              </w:rPr>
              <w:t>טופס תשלום אגרת רישיון רכב;</w:t>
            </w:r>
          </w:p>
        </w:tc>
      </w:tr>
      <w:tr w:rsidR="001F3B68" w14:paraId="5CFAFEAF" w14:textId="77777777" w:rsidTr="00BE6DE0">
        <w:trPr>
          <w:cantSplit/>
          <w:trHeight w:val="60"/>
        </w:trPr>
        <w:tc>
          <w:tcPr>
            <w:tcW w:w="1871" w:type="dxa"/>
          </w:tcPr>
          <w:p w14:paraId="2D8A278A" w14:textId="77777777" w:rsidR="001F3B68" w:rsidRDefault="001F3B68" w:rsidP="002C3041">
            <w:pPr>
              <w:pStyle w:val="TableSideHeading"/>
              <w:keepLines w:val="0"/>
              <w:rPr>
                <w:rtl/>
              </w:rPr>
            </w:pPr>
          </w:p>
        </w:tc>
        <w:tc>
          <w:tcPr>
            <w:tcW w:w="624" w:type="dxa"/>
          </w:tcPr>
          <w:p w14:paraId="281BA87C" w14:textId="77777777" w:rsidR="001F3B68" w:rsidRDefault="001F3B68" w:rsidP="001F3B68">
            <w:pPr>
              <w:pStyle w:val="TableText"/>
              <w:rPr>
                <w:rtl/>
              </w:rPr>
            </w:pPr>
          </w:p>
        </w:tc>
        <w:tc>
          <w:tcPr>
            <w:tcW w:w="7146" w:type="dxa"/>
          </w:tcPr>
          <w:p w14:paraId="481B5E3C" w14:textId="01288D88" w:rsidR="001F3B68" w:rsidRDefault="001F3B68" w:rsidP="00865B51">
            <w:pPr>
              <w:pStyle w:val="TableBlock"/>
              <w:rPr>
                <w:rtl/>
              </w:rPr>
            </w:pPr>
            <w:r>
              <w:rPr>
                <w:rFonts w:hint="cs"/>
                <w:rtl/>
              </w:rPr>
              <w:t>(</w:t>
            </w:r>
            <w:r w:rsidR="00865B51">
              <w:rPr>
                <w:rFonts w:hint="cs"/>
                <w:rtl/>
              </w:rPr>
              <w:t>5</w:t>
            </w:r>
            <w:r>
              <w:rPr>
                <w:rFonts w:hint="cs"/>
                <w:rtl/>
              </w:rPr>
              <w:t xml:space="preserve">) </w:t>
            </w:r>
            <w:r>
              <w:rPr>
                <w:rtl/>
              </w:rPr>
              <w:tab/>
            </w:r>
            <w:r>
              <w:rPr>
                <w:rFonts w:hint="cs"/>
                <w:rtl/>
              </w:rPr>
              <w:t>טופס התייצבות לצו ראשון;</w:t>
            </w:r>
          </w:p>
        </w:tc>
      </w:tr>
      <w:tr w:rsidR="001F3B68" w14:paraId="7E44602E" w14:textId="77777777" w:rsidTr="00BE6DE0">
        <w:trPr>
          <w:cantSplit/>
          <w:trHeight w:val="60"/>
        </w:trPr>
        <w:tc>
          <w:tcPr>
            <w:tcW w:w="1871" w:type="dxa"/>
          </w:tcPr>
          <w:p w14:paraId="133BBF54" w14:textId="77777777" w:rsidR="001F3B68" w:rsidRDefault="001F3B68" w:rsidP="002C3041">
            <w:pPr>
              <w:pStyle w:val="TableSideHeading"/>
              <w:keepLines w:val="0"/>
              <w:rPr>
                <w:rtl/>
              </w:rPr>
            </w:pPr>
          </w:p>
        </w:tc>
        <w:tc>
          <w:tcPr>
            <w:tcW w:w="624" w:type="dxa"/>
          </w:tcPr>
          <w:p w14:paraId="7627BDB3" w14:textId="77777777" w:rsidR="001F3B68" w:rsidRDefault="001F3B68" w:rsidP="001F3B68">
            <w:pPr>
              <w:pStyle w:val="TableText"/>
              <w:rPr>
                <w:rtl/>
              </w:rPr>
            </w:pPr>
          </w:p>
        </w:tc>
        <w:tc>
          <w:tcPr>
            <w:tcW w:w="7146" w:type="dxa"/>
          </w:tcPr>
          <w:p w14:paraId="6DA56C9B" w14:textId="51840B1D" w:rsidR="001F3B68" w:rsidRDefault="001F3B68" w:rsidP="00865B51">
            <w:pPr>
              <w:pStyle w:val="TableBlock"/>
              <w:rPr>
                <w:rtl/>
              </w:rPr>
            </w:pPr>
            <w:r>
              <w:rPr>
                <w:rFonts w:hint="cs"/>
                <w:rtl/>
              </w:rPr>
              <w:t>(</w:t>
            </w:r>
            <w:r w:rsidR="00865B51">
              <w:rPr>
                <w:rFonts w:hint="cs"/>
                <w:rtl/>
              </w:rPr>
              <w:t>6</w:t>
            </w:r>
            <w:r>
              <w:rPr>
                <w:rFonts w:hint="cs"/>
                <w:rtl/>
              </w:rPr>
              <w:t xml:space="preserve">) </w:t>
            </w:r>
            <w:r>
              <w:rPr>
                <w:rtl/>
              </w:rPr>
              <w:tab/>
            </w:r>
            <w:r>
              <w:rPr>
                <w:rFonts w:hint="cs"/>
                <w:rtl/>
              </w:rPr>
              <w:t>טופ</w:t>
            </w:r>
            <w:r w:rsidR="00865B51">
              <w:rPr>
                <w:rFonts w:hint="cs"/>
                <w:rtl/>
              </w:rPr>
              <w:t>ס</w:t>
            </w:r>
            <w:r>
              <w:rPr>
                <w:rFonts w:hint="cs"/>
                <w:rtl/>
              </w:rPr>
              <w:t xml:space="preserve"> שחרור מצבא הגנה לישראל ומגופים ב</w:t>
            </w:r>
            <w:r w:rsidR="00375A47">
              <w:rPr>
                <w:rFonts w:hint="cs"/>
                <w:rtl/>
              </w:rPr>
              <w:t>י</w:t>
            </w:r>
            <w:r>
              <w:rPr>
                <w:rFonts w:hint="cs"/>
                <w:rtl/>
              </w:rPr>
              <w:t>טחוניים אחרים</w:t>
            </w:r>
            <w:r w:rsidR="00865B51">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30987DB2" w14:textId="75D07843" w:rsidR="009A24C5" w:rsidRPr="00E87C00" w:rsidRDefault="009A24C5" w:rsidP="00865B51">
      <w:pPr>
        <w:pStyle w:val="Hesber"/>
        <w:rPr>
          <w:rtl/>
        </w:rPr>
      </w:pPr>
      <w:r w:rsidRPr="00E87C00">
        <w:rPr>
          <w:rFonts w:hint="cs"/>
          <w:rtl/>
        </w:rPr>
        <w:t>ב-2008 נחקק חוק השתלת איברים</w:t>
      </w:r>
      <w:r w:rsidR="001F3B68" w:rsidRPr="00E87C00">
        <w:rPr>
          <w:rFonts w:hint="cs"/>
          <w:rtl/>
        </w:rPr>
        <w:t>, התשס"ח</w:t>
      </w:r>
      <w:r w:rsidR="001F3B68" w:rsidRPr="00E87C00">
        <w:rPr>
          <w:rFonts w:hint="eastAsia"/>
          <w:rtl/>
        </w:rPr>
        <w:t>–</w:t>
      </w:r>
      <w:r w:rsidR="00865B51" w:rsidRPr="00E87C00">
        <w:rPr>
          <w:rFonts w:hint="cs"/>
          <w:rtl/>
        </w:rPr>
        <w:t>2008</w:t>
      </w:r>
      <w:r w:rsidR="001F3B68" w:rsidRPr="00E87C00">
        <w:rPr>
          <w:rFonts w:hint="eastAsia"/>
          <w:rtl/>
        </w:rPr>
        <w:t>,</w:t>
      </w:r>
      <w:r w:rsidR="00865B51">
        <w:rPr>
          <w:rFonts w:hint="cs"/>
          <w:rtl/>
        </w:rPr>
        <w:t xml:space="preserve"> </w:t>
      </w:r>
      <w:r w:rsidRPr="00E87C00">
        <w:rPr>
          <w:rFonts w:hint="cs"/>
          <w:rtl/>
        </w:rPr>
        <w:t>שמסדיר את נושא תרומות האיברים בישראל וקובע כי כל אזרח יכול להביע הסכמה לתרום את א</w:t>
      </w:r>
      <w:r w:rsidR="001F3B68" w:rsidRPr="00E87C00">
        <w:rPr>
          <w:rFonts w:hint="cs"/>
          <w:rtl/>
        </w:rPr>
        <w:t>י</w:t>
      </w:r>
      <w:r w:rsidRPr="00E87C00">
        <w:rPr>
          <w:rFonts w:hint="cs"/>
          <w:rtl/>
        </w:rPr>
        <w:t xml:space="preserve">בריו </w:t>
      </w:r>
      <w:r w:rsidR="00C220BE">
        <w:rPr>
          <w:rFonts w:hint="cs"/>
          <w:rtl/>
        </w:rPr>
        <w:t>במותו באמצעות חתימה על כרטיס אד</w:t>
      </w:r>
      <w:r w:rsidRPr="00E87C00">
        <w:rPr>
          <w:rFonts w:hint="cs"/>
          <w:rtl/>
        </w:rPr>
        <w:t>י. כיום כ-14% מהאוכלוסייה הבוגרת בישראל חתומה על כרטיס אדי, אך בזמן אמת כ-50% מהמשפחות מסכימות לתרום את איברי יקיריה</w:t>
      </w:r>
      <w:r w:rsidRPr="00E87C00">
        <w:rPr>
          <w:rFonts w:hint="eastAsia"/>
          <w:rtl/>
        </w:rPr>
        <w:t>ם</w:t>
      </w:r>
      <w:r w:rsidRPr="00E87C00">
        <w:rPr>
          <w:rFonts w:hint="cs"/>
          <w:rtl/>
        </w:rPr>
        <w:t xml:space="preserve">. חתימה על כרטיס אדי מקילה על המשפחה בביצוע החלטה זו </w:t>
      </w:r>
      <w:r w:rsidRPr="00E87C00">
        <w:rPr>
          <w:rFonts w:hint="cs"/>
          <w:rtl/>
        </w:rPr>
        <w:lastRenderedPageBreak/>
        <w:t xml:space="preserve">ומבהירה בפניה את רצון המנוח, על אף שהיא אינה מחייבת את המשפחה. </w:t>
      </w:r>
    </w:p>
    <w:p w14:paraId="651AE815" w14:textId="6C7A71F0" w:rsidR="009A24C5" w:rsidRPr="00E87C00" w:rsidRDefault="009A24C5" w:rsidP="00E87C00">
      <w:pPr>
        <w:pStyle w:val="Hesber"/>
        <w:rPr>
          <w:rtl/>
        </w:rPr>
      </w:pPr>
      <w:r w:rsidRPr="00E87C00">
        <w:rPr>
          <w:rFonts w:hint="cs"/>
          <w:rtl/>
        </w:rPr>
        <w:t xml:space="preserve">יתרה מזאת, חוק השתלת איברים נותן עדיפות בתור להשתלת איברים לחולים אשר בבעלותם או בבעלות בני משפחותיהם כרטיס אדי. לפי נתוני המרכז הלאומי להשתלות הקדימות בתור בוצעה בעשרות מקרים של השתלות. </w:t>
      </w:r>
    </w:p>
    <w:p w14:paraId="54466656" w14:textId="05F92B1E" w:rsidR="009A24C5" w:rsidRDefault="001F3B68" w:rsidP="00865B51">
      <w:pPr>
        <w:pStyle w:val="Hesber"/>
        <w:rPr>
          <w:rtl/>
        </w:rPr>
      </w:pPr>
      <w:r w:rsidRPr="00E87C00">
        <w:rPr>
          <w:rFonts w:hint="cs"/>
          <w:rtl/>
        </w:rPr>
        <w:t xml:space="preserve">מטרתה של </w:t>
      </w:r>
      <w:r w:rsidR="009A24C5" w:rsidRPr="00E87C00">
        <w:rPr>
          <w:rFonts w:hint="cs"/>
          <w:rtl/>
        </w:rPr>
        <w:t>הצעת החוק לאפשר נגישות לחתימה על כרטיס אדי באמצעות הוספת האופציה בטפסים מ</w:t>
      </w:r>
      <w:r w:rsidRPr="00E87C00">
        <w:rPr>
          <w:rFonts w:hint="cs"/>
          <w:rtl/>
        </w:rPr>
        <w:t>ק</w:t>
      </w:r>
      <w:r w:rsidR="009A24C5" w:rsidRPr="00E87C00">
        <w:rPr>
          <w:rFonts w:hint="cs"/>
          <w:rtl/>
        </w:rPr>
        <w:t xml:space="preserve">וונים ממשלתיים, כך שאזרח שיבחר בכך יוכל לחתום בקלות על הכרטיס, לזכות בקדימות בתור </w:t>
      </w:r>
      <w:r w:rsidR="00865B51">
        <w:rPr>
          <w:rFonts w:hint="cs"/>
          <w:rtl/>
        </w:rPr>
        <w:t xml:space="preserve">אם </w:t>
      </w:r>
      <w:r w:rsidR="009A24C5" w:rsidRPr="00E87C00">
        <w:rPr>
          <w:rFonts w:hint="cs"/>
          <w:rtl/>
        </w:rPr>
        <w:t>הוא או בני משפחתו יזדקקו לכך ולהביע את רצונו להציל את חייהם של אחרים לאחר מותו.</w:t>
      </w:r>
    </w:p>
    <w:p w14:paraId="0E2DE45D" w14:textId="7A1C9888" w:rsidR="00C220BE" w:rsidRDefault="00C220BE" w:rsidP="00865B51">
      <w:pPr>
        <w:pStyle w:val="Hesber"/>
        <w:rPr>
          <w:rtl/>
        </w:rPr>
      </w:pPr>
    </w:p>
    <w:p w14:paraId="45D79283" w14:textId="77777777" w:rsidR="00C220BE" w:rsidRDefault="00C220BE" w:rsidP="00865B51">
      <w:pPr>
        <w:pStyle w:val="Hesber"/>
        <w:rPr>
          <w:rtl/>
        </w:rPr>
      </w:pPr>
    </w:p>
    <w:p w14:paraId="0889707E" w14:textId="77777777" w:rsidR="00C220BE" w:rsidRDefault="00C220BE" w:rsidP="00865B51">
      <w:pPr>
        <w:pStyle w:val="Hesber"/>
        <w:rPr>
          <w:rtl/>
        </w:rPr>
      </w:pPr>
    </w:p>
    <w:p w14:paraId="131FFCE9" w14:textId="77777777" w:rsidR="00C220BE" w:rsidRPr="00E87C00" w:rsidRDefault="00C220BE" w:rsidP="00865B51">
      <w:pPr>
        <w:pStyle w:val="Hesber"/>
        <w:rPr>
          <w:rtl/>
        </w:rPr>
      </w:pPr>
      <w:bookmarkStart w:id="7" w:name="_GoBack"/>
      <w:bookmarkEnd w:id="7"/>
    </w:p>
    <w:p w14:paraId="4F919A94" w14:textId="77777777" w:rsidR="00865B51" w:rsidRPr="00D73212" w:rsidRDefault="00865B51" w:rsidP="005828E7">
      <w:pPr>
        <w:pStyle w:val="Hesber"/>
        <w:rPr>
          <w:color w:val="auto"/>
          <w:rtl/>
          <w:lang w:eastAsia="en-US"/>
        </w:rPr>
      </w:pPr>
      <w:r w:rsidRPr="00D73212">
        <w:rPr>
          <w:color w:val="auto"/>
          <w:rtl/>
          <w:lang w:eastAsia="en-US"/>
        </w:rPr>
        <w:t>---------------------------------</w:t>
      </w:r>
    </w:p>
    <w:p w14:paraId="1FE40226" w14:textId="77777777" w:rsidR="00865B51" w:rsidRPr="00D73212" w:rsidRDefault="00865B51" w:rsidP="005828E7">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933323E" w14:textId="77777777" w:rsidR="00865B51" w:rsidRPr="00D73212" w:rsidRDefault="00865B51" w:rsidP="005828E7">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C1B1E1D" w14:textId="77777777" w:rsidR="00865B51" w:rsidRPr="00317312" w:rsidRDefault="00865B51" w:rsidP="005828E7">
      <w:pPr>
        <w:pStyle w:val="Hesber"/>
      </w:pPr>
      <w:r>
        <w:rPr>
          <w:rFonts w:hint="cs"/>
          <w:color w:val="auto"/>
          <w:rtl/>
          <w:lang w:eastAsia="en-US"/>
        </w:rPr>
        <w:t>כ' באדר א'</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ו</w:t>
      </w:r>
      <w:r w:rsidRPr="00D73212">
        <w:rPr>
          <w:color w:val="auto"/>
          <w:rtl/>
          <w:lang w:eastAsia="en-US"/>
        </w:rPr>
        <w:t xml:space="preserve"> – </w:t>
      </w:r>
      <w:r>
        <w:rPr>
          <w:rFonts w:hint="cs"/>
          <w:color w:val="auto"/>
          <w:rtl/>
          <w:lang w:eastAsia="en-US"/>
        </w:rPr>
        <w:t>29</w:t>
      </w:r>
      <w:r w:rsidRPr="00D73212">
        <w:rPr>
          <w:color w:val="auto"/>
          <w:rtl/>
          <w:lang w:eastAsia="en-US"/>
        </w:rPr>
        <w:t>.</w:t>
      </w:r>
      <w:r>
        <w:rPr>
          <w:rFonts w:hint="cs"/>
          <w:color w:val="auto"/>
          <w:rtl/>
          <w:lang w:eastAsia="en-US"/>
        </w:rPr>
        <w:t>2</w:t>
      </w:r>
      <w:r w:rsidRPr="00D73212">
        <w:rPr>
          <w:color w:val="auto"/>
          <w:rtl/>
          <w:lang w:eastAsia="en-US"/>
        </w:rPr>
        <w:t>.1</w:t>
      </w:r>
      <w:r>
        <w:rPr>
          <w:rFonts w:hint="cs"/>
          <w:color w:val="auto"/>
          <w:rtl/>
          <w:lang w:eastAsia="en-US"/>
        </w:rPr>
        <w:t>6</w:t>
      </w:r>
    </w:p>
    <w:p w14:paraId="7F6961CB" w14:textId="04A8E9FF" w:rsidR="00E13C27" w:rsidRPr="00E87C00" w:rsidRDefault="00E13C27" w:rsidP="00865B51">
      <w:pPr>
        <w:rPr>
          <w:rtl/>
        </w:rPr>
      </w:pPr>
    </w:p>
    <w:sectPr w:rsidR="00E13C27" w:rsidRPr="00E87C0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220BE">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4653EEB5" w14:textId="77777777" w:rsidR="00BE6DE0" w:rsidRDefault="00BE6DE0" w:rsidP="00E879C4">
      <w:pPr>
        <w:pStyle w:val="a4"/>
        <w:rPr>
          <w:rtl/>
        </w:rPr>
      </w:pPr>
      <w:r>
        <w:rPr>
          <w:rStyle w:val="a6"/>
        </w:rPr>
        <w:footnoteRef/>
      </w:r>
      <w:r>
        <w:rPr>
          <w:rtl/>
        </w:rPr>
        <w:t xml:space="preserve"> </w:t>
      </w:r>
      <w:r>
        <w:rPr>
          <w:rFonts w:hint="cs"/>
          <w:rtl/>
        </w:rPr>
        <w:t>ס"ח התשס"ח, עמ' 394.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F4DB2"/>
    <w:multiLevelType w:val="hybridMultilevel"/>
    <w:tmpl w:val="79DA3426"/>
    <w:lvl w:ilvl="0" w:tplc="560ED24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F3B68"/>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75A47"/>
    <w:rsid w:val="00386E88"/>
    <w:rsid w:val="00396585"/>
    <w:rsid w:val="003D5A9A"/>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65B51"/>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24C5"/>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E6DE0"/>
    <w:rsid w:val="00BF148D"/>
    <w:rsid w:val="00C220BE"/>
    <w:rsid w:val="00C23B1A"/>
    <w:rsid w:val="00C310EB"/>
    <w:rsid w:val="00C76F81"/>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87C00"/>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3FA5360-BAB3-46E5-A698-23F23EF6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BE6DE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14957-5741-4AF8-B1A7-0C86F802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3A7675D5-EBDD-4A06-99AB-88BE0B4A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320</Words>
  <Characters>1602</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2016-02-24T09:38:00Z</cp:lastPrinted>
  <dcterms:created xsi:type="dcterms:W3CDTF">2015-04-20T09:58:00Z</dcterms:created>
  <dcterms:modified xsi:type="dcterms:W3CDTF">2016-02-24T09:38:00Z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564964</vt:r8>
  </property>
</Properties>
</file>