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574720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אילן גילאון</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זהבה גלאון</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עיסאווי פריג'</w:t>
      </w:r>
      <w:r>
        <w:br/>
      </w:r>
      <w:r>
        <w:rPr>
          <w:rFonts w:hint="cs"/>
          <w:b/>
          <w:bCs/>
          <w:rtl/>
        </w:rPr>
        <w:t xml:space="preserve"> </w:t>
      </w:r>
      <w:r>
        <w:tab/>
      </w:r>
      <w:r>
        <w:tab/>
      </w:r>
      <w:r>
        <w:tab/>
      </w:r>
      <w:r>
        <w:tab/>
      </w:r>
      <w:r>
        <w:rPr>
          <w:rFonts w:hint="cs"/>
          <w:b/>
          <w:bCs/>
          <w:rtl/>
        </w:rPr>
        <w:t>עמר בר-לב</w:t>
      </w:r>
      <w:r>
        <w:br/>
      </w:r>
      <w:r>
        <w:rPr>
          <w:rFonts w:hint="cs"/>
          <w:b/>
          <w:bCs/>
          <w:rtl/>
        </w:rPr>
        <w:t xml:space="preserve"> </w:t>
      </w:r>
      <w:r>
        <w:tab/>
      </w:r>
      <w:r>
        <w:tab/>
      </w:r>
      <w:r>
        <w:tab/>
      </w:r>
      <w:r>
        <w:tab/>
      </w:r>
      <w:r>
        <w:rPr>
          <w:rFonts w:hint="cs"/>
          <w:b/>
          <w:bCs/>
          <w:rtl/>
        </w:rPr>
        <w:t>תמר זנדברג</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פ/2633/20</w:t>
      </w:r>
      <w:bookmarkEnd w:id="6"/>
    </w:p>
    <w:p w14:paraId="7F6961AD" w14:textId="77777777" w:rsidR="00E13C27" w:rsidRPr="00F67051" w:rsidRDefault="00A443CF" w:rsidP="0021633A">
      <w:pPr>
        <w:pStyle w:val="HeadHatzaotHok"/>
        <w:rPr>
          <w:rtl/>
        </w:rPr>
      </w:pPr>
      <w:bookmarkStart w:id="7" w:name="LGS_Subject"/>
      <w:r>
        <w:rPr>
          <w:rFonts w:hint="cs"/>
          <w:rtl/>
        </w:rPr>
        <w:t>הצעת חוק הביטוח הלאומי (תיקון – השוואת קצבת נכות לשכר המינימום), התשע"ו–2016</w:t>
      </w:r>
      <w:bookmarkEnd w:id="7"/>
    </w:p>
    <w:tbl>
      <w:tblPr>
        <w:bidiVisual/>
        <w:tblW w:w="9645" w:type="dxa"/>
        <w:tblInd w:w="6" w:type="dxa"/>
        <w:tblLayout w:type="fixed"/>
        <w:tblCellMar>
          <w:top w:w="57" w:type="dxa"/>
          <w:left w:w="0" w:type="dxa"/>
          <w:bottom w:w="57" w:type="dxa"/>
          <w:right w:w="0" w:type="dxa"/>
        </w:tblCellMar>
        <w:tblLook w:val="04A0" w:firstRow="1" w:lastRow="0" w:firstColumn="1" w:lastColumn="0" w:noHBand="0" w:noVBand="1"/>
      </w:tblPr>
      <w:tblGrid>
        <w:gridCol w:w="1872"/>
        <w:gridCol w:w="624"/>
        <w:gridCol w:w="7149"/>
      </w:tblGrid>
      <w:tr w:rsidR="00AF40CB" w14:paraId="75CEEFC4" w14:textId="77777777" w:rsidTr="00AF40CB">
        <w:trPr>
          <w:cantSplit/>
          <w:trHeight w:val="60"/>
        </w:trPr>
        <w:tc>
          <w:tcPr>
            <w:tcW w:w="1872" w:type="dxa"/>
            <w:hideMark/>
          </w:tcPr>
          <w:p w14:paraId="70EF794D" w14:textId="77777777" w:rsidR="00AF40CB" w:rsidRDefault="00AF40CB" w:rsidP="007820D2">
            <w:pPr>
              <w:pStyle w:val="TableSideHeading"/>
              <w:keepLines w:val="0"/>
            </w:pPr>
            <w:r>
              <w:rPr>
                <w:rFonts w:hint="cs"/>
                <w:sz w:val="26"/>
                <w:rtl/>
              </w:rPr>
              <w:t>תיקון סעיף 200</w:t>
            </w:r>
          </w:p>
        </w:tc>
        <w:tc>
          <w:tcPr>
            <w:tcW w:w="624" w:type="dxa"/>
          </w:tcPr>
          <w:p w14:paraId="2E0D84DF" w14:textId="61351AA9" w:rsidR="00AF40CB" w:rsidRDefault="00B56C6D" w:rsidP="00B56C6D">
            <w:pPr>
              <w:pStyle w:val="TableText"/>
              <w:keepLines w:val="0"/>
              <w:textAlignment w:val="auto"/>
            </w:pPr>
            <w:r>
              <w:rPr>
                <w:rFonts w:hint="cs"/>
                <w:rtl/>
              </w:rPr>
              <w:t>1.</w:t>
            </w:r>
          </w:p>
        </w:tc>
        <w:tc>
          <w:tcPr>
            <w:tcW w:w="7149" w:type="dxa"/>
            <w:hideMark/>
          </w:tcPr>
          <w:p w14:paraId="57AF2944" w14:textId="77777777" w:rsidR="00AF40CB" w:rsidRDefault="00AF40CB" w:rsidP="007820D2">
            <w:pPr>
              <w:pStyle w:val="TableBlock"/>
              <w:rPr>
                <w:sz w:val="26"/>
              </w:rPr>
            </w:pPr>
            <w:r>
              <w:rPr>
                <w:rFonts w:hint="cs"/>
                <w:sz w:val="26"/>
                <w:rtl/>
              </w:rPr>
              <w:t>בחוק הביטוח הלאומי [נוסח משולב], התשנ"ה–1995</w:t>
            </w:r>
            <w:r>
              <w:rPr>
                <w:rStyle w:val="a6"/>
                <w:sz w:val="26"/>
                <w:rtl/>
              </w:rPr>
              <w:footnoteReference w:id="2"/>
            </w:r>
            <w:r>
              <w:rPr>
                <w:rFonts w:hint="cs"/>
                <w:sz w:val="26"/>
                <w:rtl/>
              </w:rPr>
              <w:t>, בסעיף 200, במקום סעיף קטן (ב) יבוא:</w:t>
            </w:r>
          </w:p>
        </w:tc>
      </w:tr>
      <w:tr w:rsidR="00AF40CB" w14:paraId="51AFBC2D" w14:textId="77777777" w:rsidTr="00AF40CB">
        <w:trPr>
          <w:cantSplit/>
          <w:trHeight w:val="60"/>
        </w:trPr>
        <w:tc>
          <w:tcPr>
            <w:tcW w:w="1872" w:type="dxa"/>
          </w:tcPr>
          <w:p w14:paraId="1ED118C8" w14:textId="77777777" w:rsidR="00AF40CB" w:rsidRDefault="00AF40CB" w:rsidP="007820D2">
            <w:pPr>
              <w:pStyle w:val="TableSideHeading"/>
              <w:keepLines w:val="0"/>
              <w:rPr>
                <w:sz w:val="26"/>
              </w:rPr>
            </w:pPr>
          </w:p>
        </w:tc>
        <w:tc>
          <w:tcPr>
            <w:tcW w:w="624" w:type="dxa"/>
          </w:tcPr>
          <w:p w14:paraId="56B07DC2" w14:textId="77777777" w:rsidR="00AF40CB" w:rsidRDefault="00AF40CB" w:rsidP="007820D2">
            <w:pPr>
              <w:pStyle w:val="TableText"/>
            </w:pPr>
          </w:p>
        </w:tc>
        <w:tc>
          <w:tcPr>
            <w:tcW w:w="7149" w:type="dxa"/>
            <w:hideMark/>
          </w:tcPr>
          <w:p w14:paraId="4BD551CB" w14:textId="77777777" w:rsidR="00AF40CB" w:rsidRDefault="00AF40CB" w:rsidP="007820D2">
            <w:pPr>
              <w:pStyle w:val="TableBlock"/>
              <w:rPr>
                <w:sz w:val="26"/>
              </w:rPr>
            </w:pPr>
            <w:r>
              <w:rPr>
                <w:rFonts w:hint="cs"/>
                <w:sz w:val="26"/>
                <w:rtl/>
              </w:rPr>
              <w:t>"(ב)</w:t>
            </w:r>
            <w:r>
              <w:rPr>
                <w:rFonts w:hint="cs"/>
                <w:sz w:val="26"/>
                <w:rtl/>
              </w:rPr>
              <w:tab/>
              <w:t>שיעור הקצבה המלאה ליחיד יהיה בסכום השווה לשכר מינימום לחודש, לפי חוק שכר מינימום, התשמ"ז–1987</w:t>
            </w:r>
            <w:r>
              <w:rPr>
                <w:rStyle w:val="a6"/>
                <w:sz w:val="26"/>
                <w:rtl/>
              </w:rPr>
              <w:footnoteReference w:id="3"/>
            </w:r>
            <w:r>
              <w:rPr>
                <w:rFonts w:hint="cs"/>
                <w:sz w:val="26"/>
                <w:rtl/>
              </w:rPr>
              <w:t xml:space="preserve"> (להלן – קצבת יחיד מלאה)."</w:t>
            </w:r>
          </w:p>
        </w:tc>
      </w:tr>
    </w:tbl>
    <w:p w14:paraId="5DC6A131" w14:textId="77777777" w:rsidR="00AF40CB" w:rsidRDefault="00AF40CB" w:rsidP="00AF40CB">
      <w:pPr>
        <w:pStyle w:val="HeadDivreiHesber"/>
        <w:rPr>
          <w:rtl/>
        </w:rPr>
      </w:pPr>
      <w:r w:rsidRPr="0027450A">
        <w:rPr>
          <w:rFonts w:hint="cs"/>
          <w:rtl/>
        </w:rPr>
        <w:t>דברי הסבר</w:t>
      </w:r>
    </w:p>
    <w:p w14:paraId="2822BED3" w14:textId="4186B43C" w:rsidR="00AF40CB" w:rsidRPr="00413D47" w:rsidRDefault="00AF40CB" w:rsidP="00AF40CB">
      <w:pPr>
        <w:pStyle w:val="Hesber"/>
      </w:pPr>
      <w:r w:rsidRPr="00413D47">
        <w:rPr>
          <w:rFonts w:hint="cs"/>
          <w:rtl/>
        </w:rPr>
        <w:t>קצבה חודשית מלאה ליחיד, לאדם עם מוגבלות הזכאי לקצבת נכות, שנקבעה לו דרגת אי כושר להשתכר של 100%, עומדת על סך 2,34</w:t>
      </w:r>
      <w:r>
        <w:rPr>
          <w:rFonts w:hint="cs"/>
          <w:rtl/>
        </w:rPr>
        <w:t>2</w:t>
      </w:r>
      <w:r w:rsidRPr="00413D47">
        <w:rPr>
          <w:rFonts w:hint="cs"/>
          <w:rtl/>
        </w:rPr>
        <w:t xml:space="preserve"> שקלים חדשים, שעליה עשויה להתווסף קצבה חודשית נוספת של עד 372 שקלים חדשים, בהתאם לאחוז הנכות הרפואית, קרי קצבת הנכות המקסימאלית לנכה יחיד עומדת על סך של 2,714 שקלים חדשים. חישוב הקצב</w:t>
      </w:r>
      <w:r w:rsidR="00B56C6D">
        <w:rPr>
          <w:rFonts w:hint="cs"/>
          <w:rtl/>
        </w:rPr>
        <w:t>א</w:t>
      </w:r>
      <w:r w:rsidRPr="00413D47">
        <w:rPr>
          <w:rFonts w:hint="cs"/>
          <w:rtl/>
        </w:rPr>
        <w:t>ות מתבסס על קצבת יחיד מלאה, ששיעורה 25% מהסכום הבסיסי, אשר מתעדכן מדי שנה בהתאם לעליית מדד המחירים לצרכן.</w:t>
      </w:r>
    </w:p>
    <w:p w14:paraId="57FF7F50" w14:textId="10E8FB65" w:rsidR="00AF40CB" w:rsidRPr="00413D47" w:rsidRDefault="00AF40CB" w:rsidP="00AF40CB">
      <w:pPr>
        <w:pStyle w:val="Hesber"/>
        <w:rPr>
          <w:rtl/>
        </w:rPr>
      </w:pPr>
      <w:r w:rsidRPr="00413D47">
        <w:rPr>
          <w:rFonts w:hint="cs"/>
          <w:rtl/>
        </w:rPr>
        <w:t>לפיכך, הקצבה מושפעת מעליית מדד המחירים לצרכן אך אינה צמודה לשכר המינימום</w:t>
      </w:r>
      <w:r w:rsidR="00340F62">
        <w:rPr>
          <w:rFonts w:hint="cs"/>
          <w:rtl/>
        </w:rPr>
        <w:t>.</w:t>
      </w:r>
      <w:r w:rsidRPr="00413D47">
        <w:rPr>
          <w:rFonts w:hint="cs"/>
          <w:rtl/>
        </w:rPr>
        <w:br/>
        <w:t>הקצבה הזעומה הזאת דנה אדם עם מוגבלות לחיים בעוני. הקצבה אמורה להספיק לקיום מינימלי, אך ברור לכל שהיא אינה מספיקה כהוא זה לצרכיו. על האדם עם המוגבלות לרכוש תרופות, לממן נסיעות בתחבורה ציבורית או במוניות, לכלכל את ביתו, ולעיתים גם להעסיק עובד סיעודי, בנוסף לשאיפה גם לקחת חלק פעיל בפעולות החיים, כולל תרבות ופנאי. ההוצאות של אדם עם מוגבלות אינן פח</w:t>
      </w:r>
      <w:r>
        <w:rPr>
          <w:rFonts w:hint="cs"/>
          <w:rtl/>
        </w:rPr>
        <w:t>ו</w:t>
      </w:r>
      <w:r w:rsidRPr="00413D47">
        <w:rPr>
          <w:rFonts w:hint="cs"/>
          <w:rtl/>
        </w:rPr>
        <w:t xml:space="preserve">תות </w:t>
      </w:r>
      <w:r w:rsidRPr="00413D47">
        <w:rPr>
          <w:rFonts w:hint="cs"/>
          <w:rtl/>
        </w:rPr>
        <w:lastRenderedPageBreak/>
        <w:t>מהוצאות של אדם שאינו נחשב נכה לפי חוק הביטוח הלאומי. לפיכך, אין כל הגיון שהקצבה שיקבל אדם עם מוגבלות הזכאי לקצבת נכות מלאה בגין נכו</w:t>
      </w:r>
      <w:r>
        <w:rPr>
          <w:rFonts w:hint="cs"/>
          <w:rtl/>
        </w:rPr>
        <w:t xml:space="preserve">תו ואובדן כושר עבודתו תפחת ממה </w:t>
      </w:r>
      <w:r w:rsidRPr="00413D47">
        <w:rPr>
          <w:rFonts w:hint="cs"/>
          <w:rtl/>
        </w:rPr>
        <w:t>שנחשב לשכר מינימלי במשק.</w:t>
      </w:r>
    </w:p>
    <w:p w14:paraId="7FC41805" w14:textId="77777777" w:rsidR="00AF40CB" w:rsidRPr="00413D47" w:rsidRDefault="00AF40CB" w:rsidP="00AF40CB">
      <w:pPr>
        <w:pStyle w:val="Hesber"/>
        <w:rPr>
          <w:rtl/>
        </w:rPr>
      </w:pPr>
      <w:r w:rsidRPr="00413D47">
        <w:rPr>
          <w:rFonts w:hint="cs"/>
          <w:rtl/>
        </w:rPr>
        <w:t xml:space="preserve">מוצע להצמיד את קצבת הנכות לשכר המינימום, </w:t>
      </w:r>
      <w:r>
        <w:rPr>
          <w:rFonts w:hint="cs"/>
          <w:rtl/>
        </w:rPr>
        <w:t xml:space="preserve">כדי </w:t>
      </w:r>
      <w:r w:rsidRPr="00413D47">
        <w:rPr>
          <w:rFonts w:hint="cs"/>
          <w:rtl/>
        </w:rPr>
        <w:t xml:space="preserve">לאפשר מחייה בכבוד. </w:t>
      </w:r>
    </w:p>
    <w:p w14:paraId="6C9A0AA3" w14:textId="77777777" w:rsidR="00340F62" w:rsidRDefault="00AF40CB" w:rsidP="00AF40CB">
      <w:pPr>
        <w:pStyle w:val="Hesber"/>
        <w:rPr>
          <w:rtl/>
        </w:rPr>
      </w:pPr>
      <w:r w:rsidRPr="00413D47">
        <w:rPr>
          <w:rFonts w:hint="cs"/>
          <w:rtl/>
        </w:rPr>
        <w:t>הצעת חוק דומה בעיקרה הונחה על שולחן הכנסת העשרים על ידי חבר הכנסת דב חנין וקבוצת חברי הכנסת (פ/987/20)</w:t>
      </w:r>
      <w:r w:rsidR="00340F62">
        <w:rPr>
          <w:rFonts w:hint="cs"/>
          <w:rtl/>
        </w:rPr>
        <w:t>.</w:t>
      </w:r>
    </w:p>
    <w:p w14:paraId="20DA709A" w14:textId="0C1A4EC3" w:rsidR="00AF40CB" w:rsidRDefault="00AF40CB" w:rsidP="00340F62">
      <w:pPr>
        <w:pStyle w:val="Hesber"/>
        <w:rPr>
          <w:rtl/>
        </w:rPr>
      </w:pPr>
      <w:r>
        <w:rPr>
          <w:rFonts w:hint="cs"/>
          <w:rtl/>
        </w:rPr>
        <w:t>הצעת חוק זהה הונחה על שולחן הכנסת ה</w:t>
      </w:r>
      <w:r w:rsidR="00340F62">
        <w:rPr>
          <w:rFonts w:hint="cs"/>
          <w:rtl/>
        </w:rPr>
        <w:t>עשרים</w:t>
      </w:r>
      <w:r>
        <w:rPr>
          <w:rFonts w:hint="cs"/>
          <w:rtl/>
        </w:rPr>
        <w:t xml:space="preserve"> על ידי חבר הכנסת אילן גילאון</w:t>
      </w:r>
      <w:r w:rsidR="00340F62">
        <w:rPr>
          <w:rFonts w:hint="cs"/>
          <w:rtl/>
        </w:rPr>
        <w:t xml:space="preserve"> וקבוצת חברי הכנסת</w:t>
      </w:r>
      <w:r w:rsidRPr="00AF40CB">
        <w:rPr>
          <w:rFonts w:hint="cs"/>
          <w:rtl/>
        </w:rPr>
        <w:t xml:space="preserve"> </w:t>
      </w:r>
      <w:r>
        <w:rPr>
          <w:rFonts w:hint="cs"/>
          <w:rtl/>
        </w:rPr>
        <w:t>(פ/1367/20</w:t>
      </w:r>
      <w:r w:rsidR="00340F62">
        <w:rPr>
          <w:rFonts w:hint="cs"/>
          <w:rtl/>
        </w:rPr>
        <w:t>; הוסרה מסדר היום ביום כ' בכסלו התשע"ו (2 בדצמבר 2015)</w:t>
      </w:r>
      <w:r>
        <w:rPr>
          <w:rFonts w:hint="cs"/>
          <w:rtl/>
        </w:rPr>
        <w:t>)</w:t>
      </w:r>
      <w:r w:rsidRPr="00413D47">
        <w:rPr>
          <w:rFonts w:hint="cs"/>
          <w:rtl/>
        </w:rPr>
        <w:t xml:space="preserve">. </w:t>
      </w:r>
    </w:p>
    <w:p w14:paraId="3BC04BCB" w14:textId="63B64F7D" w:rsidR="00B56C6D" w:rsidRDefault="00B56C6D" w:rsidP="00340F62">
      <w:pPr>
        <w:pStyle w:val="Hesber"/>
        <w:rPr>
          <w:rtl/>
        </w:rPr>
      </w:pPr>
    </w:p>
    <w:p w14:paraId="3651304A" w14:textId="77777777" w:rsidR="00B56C6D" w:rsidRDefault="00B56C6D" w:rsidP="00340F62">
      <w:pPr>
        <w:pStyle w:val="Hesber"/>
        <w:rPr>
          <w:rtl/>
        </w:rPr>
      </w:pPr>
    </w:p>
    <w:p w14:paraId="2095E1CB" w14:textId="77777777" w:rsidR="00B56C6D" w:rsidRPr="00557D2C" w:rsidRDefault="00B56C6D" w:rsidP="007D273A">
      <w:pPr>
        <w:pStyle w:val="Hesber"/>
        <w:rPr>
          <w:rtl/>
        </w:rPr>
      </w:pPr>
      <w:r w:rsidRPr="00557D2C">
        <w:rPr>
          <w:rtl/>
        </w:rPr>
        <w:t>---------------------------------</w:t>
      </w:r>
    </w:p>
    <w:p w14:paraId="3103DCD3" w14:textId="77777777" w:rsidR="00B56C6D" w:rsidRPr="00557D2C" w:rsidRDefault="00B56C6D" w:rsidP="007D273A">
      <w:pPr>
        <w:pStyle w:val="Hesber"/>
        <w:rPr>
          <w:rtl/>
        </w:rPr>
      </w:pPr>
      <w:r w:rsidRPr="00557D2C">
        <w:rPr>
          <w:rtl/>
        </w:rPr>
        <w:t>הוגשה ליו"ר הכנסת והסגנים</w:t>
      </w:r>
    </w:p>
    <w:p w14:paraId="7C3B4757" w14:textId="77777777" w:rsidR="00B56C6D" w:rsidRPr="00557D2C" w:rsidRDefault="00B56C6D" w:rsidP="007D273A">
      <w:pPr>
        <w:pStyle w:val="Hesber"/>
        <w:rPr>
          <w:rtl/>
        </w:rPr>
      </w:pPr>
      <w:r w:rsidRPr="00557D2C">
        <w:rPr>
          <w:rtl/>
        </w:rPr>
        <w:t>והונחה על שולחן הכנסת ביום</w:t>
      </w:r>
    </w:p>
    <w:p w14:paraId="40423604" w14:textId="18AA926A" w:rsidR="00B56C6D" w:rsidRDefault="00B56C6D" w:rsidP="00B56C6D">
      <w:pPr>
        <w:pStyle w:val="Hesber"/>
        <w:rPr>
          <w:rtl/>
        </w:rPr>
      </w:pPr>
      <w:r>
        <w:rPr>
          <w:rFonts w:hint="cs"/>
          <w:rtl/>
        </w:rPr>
        <w:t>י"ג באדר א' התשע"ו</w:t>
      </w:r>
      <w:r w:rsidRPr="00557D2C">
        <w:rPr>
          <w:rFonts w:hint="cs"/>
          <w:rtl/>
        </w:rPr>
        <w:t xml:space="preserve"> </w:t>
      </w:r>
      <w:r w:rsidRPr="00557D2C">
        <w:rPr>
          <w:rtl/>
        </w:rPr>
        <w:t>–</w:t>
      </w:r>
      <w:r>
        <w:rPr>
          <w:rFonts w:hint="cs"/>
          <w:rtl/>
        </w:rPr>
        <w:t xml:space="preserve"> 22.2.16</w:t>
      </w:r>
      <w:bookmarkStart w:id="8" w:name="_GoBack"/>
      <w:bookmarkEnd w:id="8"/>
    </w:p>
    <w:p w14:paraId="7F6961AE" w14:textId="77777777" w:rsidR="00E13C27" w:rsidRPr="00AF40CB" w:rsidRDefault="00E13C27" w:rsidP="00AF40CB">
      <w:pPr>
        <w:pStyle w:val="HeadDivreiHesber"/>
        <w:spacing w:before="0" w:after="0"/>
        <w:rPr>
          <w:rtl/>
        </w:rPr>
      </w:pPr>
    </w:p>
    <w:sectPr w:rsidR="00E13C27" w:rsidRPr="00AF40C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03CE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5DD2E59C" w14:textId="77777777" w:rsidR="00AF40CB" w:rsidRDefault="00AF40CB" w:rsidP="00AF40CB">
      <w:pPr>
        <w:pStyle w:val="a4"/>
        <w:rPr>
          <w:rFonts w:cs="Arial Unicode MS"/>
        </w:rPr>
      </w:pPr>
      <w:r>
        <w:rPr>
          <w:rStyle w:val="a6"/>
        </w:rPr>
        <w:footnoteRef/>
      </w:r>
      <w:r>
        <w:rPr>
          <w:rFonts w:hint="cs"/>
          <w:sz w:val="20"/>
          <w:rtl/>
        </w:rPr>
        <w:t xml:space="preserve"> ס"ח התשנ"ה, עמ' 210. </w:t>
      </w:r>
    </w:p>
  </w:footnote>
  <w:footnote w:id="3">
    <w:p w14:paraId="7EBF74A6" w14:textId="77777777" w:rsidR="00AF40CB" w:rsidRDefault="00AF40CB" w:rsidP="00AF40CB">
      <w:pPr>
        <w:pStyle w:val="a4"/>
        <w:rPr>
          <w:rtl/>
        </w:rPr>
      </w:pPr>
      <w:r>
        <w:rPr>
          <w:rStyle w:val="a6"/>
        </w:rPr>
        <w:footnoteRef/>
      </w:r>
      <w:r>
        <w:rPr>
          <w:rtl/>
        </w:rPr>
        <w:t xml:space="preserve"> </w:t>
      </w:r>
      <w:r>
        <w:rPr>
          <w:rFonts w:hint="cs"/>
          <w:rtl/>
        </w:rPr>
        <w:t>ס"ח התשמ"ז, עמ'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3CEC"/>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0F62"/>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31FE0"/>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40CB"/>
    <w:rsid w:val="00B10265"/>
    <w:rsid w:val="00B16A99"/>
    <w:rsid w:val="00B21211"/>
    <w:rsid w:val="00B35784"/>
    <w:rsid w:val="00B56C6D"/>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9A21470-3826-4682-948D-8ED3405E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AF40CB"/>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CBB3B-84AD-43D5-BC1B-B06A29F4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4B7D5E4D-87F5-4291-A5FB-45A60422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1744</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2016-02-16T15:18:00Z</cp:lastPrinted>
  <dcterms:created xsi:type="dcterms:W3CDTF">2015-04-20T09:58:00Z</dcterms:created>
  <dcterms:modified xsi:type="dcterms:W3CDTF">2016-02-16T15:18:00Z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574720</vt:r8>
  </property>
</Properties>
</file>