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572481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6" w14:textId="77777777" w:rsidR="00E13C27" w:rsidRDefault="008F6665" w:rsidP="00930EFE">
      <w:pPr>
        <w:pStyle w:val="David"/>
        <w:spacing w:line="360" w:lineRule="auto"/>
        <w:ind w:left="3544"/>
        <w:rPr>
          <w:b/>
          <w:bCs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אילן גילאון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אברהם נגוסה</w:t>
      </w:r>
      <w:bookmarkEnd w:id="3"/>
    </w:p>
    <w:p w14:paraId="7F6961AA" w14:textId="39F9D96B" w:rsidR="00E13C27" w:rsidRPr="00CF1AA2" w:rsidRDefault="007D585A" w:rsidP="0036422C">
      <w:pPr>
        <w:pStyle w:val="David"/>
        <w:spacing w:before="0" w:line="360" w:lineRule="auto"/>
        <w:ind w:left="3544"/>
        <w:rPr>
          <w:b/>
          <w:bCs/>
          <w:sz w:val="16"/>
          <w:szCs w:val="16"/>
          <w:rtl/>
        </w:rPr>
      </w:pPr>
      <w:bookmarkStart w:id="4" w:name="LGS_Join_List"/>
      <w:r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4DB4103" w14:textId="78935F38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BB3FB1">
        <w:tab/>
      </w:r>
      <w:r w:rsidR="00904591">
        <w:t xml:space="preserve"> </w:t>
      </w:r>
      <w:r w:rsidR="00BB3FB1">
        <w:rPr>
          <w:rFonts w:hint="cs"/>
          <w:rtl/>
        </w:rPr>
        <w:t>פ/2621/20</w:t>
      </w:r>
      <w:r w:rsidR="00904591">
        <w:t xml:space="preserve">          </w:t>
      </w:r>
    </w:p>
    <w:p w14:paraId="7F6961AC" w14:textId="52A925E8" w:rsidR="00E13C27" w:rsidRDefault="00904591" w:rsidP="007A43A3">
      <w:pPr>
        <w:pStyle w:val="David"/>
        <w:spacing w:before="0" w:line="240" w:lineRule="auto"/>
        <w:ind w:left="3544"/>
        <w:rPr>
          <w:rtl/>
        </w:rPr>
      </w:pPr>
      <w:r>
        <w:t xml:space="preserve">              </w:t>
      </w:r>
    </w:p>
    <w:p w14:paraId="7F6961AD" w14:textId="21E1C1F7" w:rsidR="00E13C27" w:rsidRPr="00F67051" w:rsidRDefault="00A443CF" w:rsidP="007A43A3">
      <w:pPr>
        <w:pStyle w:val="HeadHatzaotHok"/>
        <w:rPr>
          <w:rtl/>
        </w:rPr>
      </w:pPr>
      <w:bookmarkStart w:id="6" w:name="LGS_Subject"/>
      <w:r>
        <w:rPr>
          <w:rFonts w:hint="cs"/>
          <w:rtl/>
        </w:rPr>
        <w:t>הצעת חוק הצבת מכשירי החייאה במקומות ציבוריים (תיקון – בדיקות תקינות שנתיות ותיעודן), התשע"ו–2016</w:t>
      </w:r>
      <w:bookmarkEnd w:id="6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4650"/>
      </w:tblGrid>
      <w:tr w:rsidR="002F1D8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61F23084" w:rsidR="002F1D80" w:rsidRDefault="00603C4E" w:rsidP="002C3041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1</w:t>
            </w:r>
          </w:p>
        </w:tc>
        <w:tc>
          <w:tcPr>
            <w:tcW w:w="624" w:type="dxa"/>
          </w:tcPr>
          <w:p w14:paraId="6F513EF6" w14:textId="1EEE6B0A" w:rsidR="002F1D80" w:rsidRDefault="00603C4E" w:rsidP="002C3041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6" w:type="dxa"/>
            <w:gridSpan w:val="5"/>
          </w:tcPr>
          <w:p w14:paraId="1AE94DEB" w14:textId="1625E2D2" w:rsidR="002F1D80" w:rsidRPr="000E5406" w:rsidRDefault="00603C4E" w:rsidP="00C65871">
            <w:pPr>
              <w:pStyle w:val="TableBlock"/>
            </w:pPr>
            <w:r w:rsidRPr="000E5406">
              <w:rPr>
                <w:rFonts w:hint="cs"/>
                <w:rtl/>
              </w:rPr>
              <w:t>בחוק הצבת מכשירי החייאה במקומות ציבוריים, התשס"ח</w:t>
            </w:r>
            <w:r w:rsidR="007A43A3">
              <w:rPr>
                <w:rFonts w:hint="eastAsia"/>
                <w:rtl/>
              </w:rPr>
              <w:t>–</w:t>
            </w:r>
            <w:r w:rsidRPr="000E5406">
              <w:rPr>
                <w:rFonts w:hint="cs"/>
                <w:rtl/>
              </w:rPr>
              <w:t>2008</w:t>
            </w:r>
            <w:r w:rsidR="007A43A3">
              <w:rPr>
                <w:rStyle w:val="a5"/>
                <w:rtl/>
              </w:rPr>
              <w:footnoteReference w:id="2"/>
            </w:r>
            <w:r w:rsidRPr="000E5406">
              <w:rPr>
                <w:rFonts w:hint="cs"/>
                <w:rtl/>
              </w:rPr>
              <w:t xml:space="preserve"> (להלן </w:t>
            </w:r>
            <w:r w:rsidRPr="000E5406">
              <w:rPr>
                <w:rtl/>
              </w:rPr>
              <w:t>–</w:t>
            </w:r>
            <w:r w:rsidRPr="000E5406">
              <w:rPr>
                <w:rFonts w:hint="cs"/>
                <w:rtl/>
              </w:rPr>
              <w:t xml:space="preserve">החוק </w:t>
            </w:r>
            <w:r w:rsidR="000E5406" w:rsidRPr="000E5406">
              <w:rPr>
                <w:rFonts w:hint="cs"/>
                <w:rtl/>
              </w:rPr>
              <w:t xml:space="preserve">העיקרי), בסעיף </w:t>
            </w:r>
            <w:r w:rsidR="004D7446">
              <w:rPr>
                <w:rFonts w:hint="cs"/>
                <w:rtl/>
              </w:rPr>
              <w:t xml:space="preserve">1, </w:t>
            </w:r>
            <w:r w:rsidR="007A43A3">
              <w:rPr>
                <w:rFonts w:hint="cs"/>
                <w:rtl/>
              </w:rPr>
              <w:t xml:space="preserve">לפני </w:t>
            </w:r>
            <w:r w:rsidR="004D7446">
              <w:rPr>
                <w:rFonts w:hint="cs"/>
                <w:rtl/>
              </w:rPr>
              <w:t>ההגדרה "</w:t>
            </w:r>
            <w:r w:rsidR="007A43A3">
              <w:rPr>
                <w:rFonts w:hint="cs"/>
                <w:rtl/>
              </w:rPr>
              <w:t>מכשיר החייאה</w:t>
            </w:r>
            <w:r w:rsidR="004D7446">
              <w:rPr>
                <w:rFonts w:hint="cs"/>
                <w:rtl/>
              </w:rPr>
              <w:t>" יבוא:</w:t>
            </w:r>
          </w:p>
        </w:tc>
      </w:tr>
      <w:tr w:rsidR="004D7446" w14:paraId="4C62F990" w14:textId="77777777" w:rsidTr="002C3041">
        <w:trPr>
          <w:cantSplit/>
          <w:trHeight w:val="60"/>
        </w:trPr>
        <w:tc>
          <w:tcPr>
            <w:tcW w:w="1871" w:type="dxa"/>
          </w:tcPr>
          <w:p w14:paraId="452803E3" w14:textId="77777777" w:rsidR="004D7446" w:rsidRDefault="004D7446" w:rsidP="002C3041">
            <w:pPr>
              <w:pStyle w:val="TableSideHeading"/>
              <w:keepLines w:val="0"/>
              <w:rPr>
                <w:rtl/>
              </w:rPr>
            </w:pPr>
          </w:p>
        </w:tc>
        <w:tc>
          <w:tcPr>
            <w:tcW w:w="624" w:type="dxa"/>
          </w:tcPr>
          <w:p w14:paraId="2B2A0830" w14:textId="77777777" w:rsidR="004D7446" w:rsidRDefault="004D7446" w:rsidP="004D7446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0688E26C" w14:textId="48B8E346" w:rsidR="004D7446" w:rsidRPr="000E5406" w:rsidRDefault="00E45613" w:rsidP="00F84E68">
            <w:pPr>
              <w:pStyle w:val="TableBlockOutdent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"</w:t>
            </w:r>
            <w:r w:rsidR="004D7446">
              <w:rPr>
                <w:rFonts w:hint="cs"/>
                <w:rtl/>
              </w:rPr>
              <w:t>"מגן דוד אדום"</w:t>
            </w:r>
            <w:r w:rsidR="007A43A3">
              <w:rPr>
                <w:rFonts w:hint="cs"/>
                <w:rtl/>
              </w:rPr>
              <w:t xml:space="preserve"> –</w:t>
            </w:r>
            <w:r w:rsidR="004D7446">
              <w:rPr>
                <w:rFonts w:hint="cs"/>
                <w:rtl/>
              </w:rPr>
              <w:t xml:space="preserve"> כמשמע</w:t>
            </w:r>
            <w:r w:rsidR="007A43A3">
              <w:rPr>
                <w:rFonts w:hint="cs"/>
                <w:rtl/>
              </w:rPr>
              <w:t>ותו</w:t>
            </w:r>
            <w:r w:rsidR="004D7446">
              <w:rPr>
                <w:rFonts w:hint="cs"/>
                <w:rtl/>
              </w:rPr>
              <w:t xml:space="preserve"> בחוק מגן דוד אדום, הת</w:t>
            </w:r>
            <w:r w:rsidR="007A43A3">
              <w:rPr>
                <w:rFonts w:hint="cs"/>
                <w:rtl/>
              </w:rPr>
              <w:t>ש</w:t>
            </w:r>
            <w:r w:rsidR="004D7446">
              <w:rPr>
                <w:rFonts w:hint="cs"/>
                <w:rtl/>
              </w:rPr>
              <w:t>"י</w:t>
            </w:r>
            <w:r w:rsidR="007A43A3">
              <w:rPr>
                <w:rFonts w:hint="eastAsia"/>
                <w:rtl/>
              </w:rPr>
              <w:t>–</w:t>
            </w:r>
            <w:r w:rsidR="007A43A3">
              <w:rPr>
                <w:rFonts w:hint="cs"/>
                <w:rtl/>
              </w:rPr>
              <w:t>1950</w:t>
            </w:r>
            <w:r w:rsidR="007A43A3">
              <w:rPr>
                <w:rStyle w:val="a5"/>
                <w:rtl/>
              </w:rPr>
              <w:footnoteReference w:id="3"/>
            </w:r>
            <w:r>
              <w:rPr>
                <w:rFonts w:hint="cs"/>
                <w:rtl/>
              </w:rPr>
              <w:t>;"</w:t>
            </w:r>
            <w:r w:rsidR="00BB3FB1">
              <w:rPr>
                <w:rFonts w:hint="cs"/>
                <w:rtl/>
              </w:rPr>
              <w:t>.</w:t>
            </w:r>
          </w:p>
        </w:tc>
      </w:tr>
      <w:tr w:rsidR="004D7446" w14:paraId="449852E1" w14:textId="77777777" w:rsidTr="002C3041">
        <w:trPr>
          <w:cantSplit/>
          <w:trHeight w:val="60"/>
        </w:trPr>
        <w:tc>
          <w:tcPr>
            <w:tcW w:w="1871" w:type="dxa"/>
          </w:tcPr>
          <w:p w14:paraId="22882CCC" w14:textId="24AA1B43" w:rsidR="004D7446" w:rsidRDefault="004D7446" w:rsidP="002C2E1E">
            <w:pPr>
              <w:pStyle w:val="TableSideHeading"/>
              <w:keepLines w:val="0"/>
              <w:rPr>
                <w:rtl/>
              </w:rPr>
            </w:pPr>
            <w:r>
              <w:rPr>
                <w:rFonts w:hint="cs"/>
                <w:rtl/>
              </w:rPr>
              <w:t>הוספת סעיף 2</w:t>
            </w:r>
            <w:r w:rsidR="007A43A3">
              <w:rPr>
                <w:rFonts w:hint="cs"/>
                <w:rtl/>
              </w:rPr>
              <w:t>א</w:t>
            </w:r>
          </w:p>
        </w:tc>
        <w:tc>
          <w:tcPr>
            <w:tcW w:w="624" w:type="dxa"/>
          </w:tcPr>
          <w:p w14:paraId="5D2B5969" w14:textId="640A9BEA" w:rsidR="004D7446" w:rsidRDefault="004D7446" w:rsidP="004D7446">
            <w:pPr>
              <w:pStyle w:val="TableText"/>
              <w:rPr>
                <w:rtl/>
              </w:rPr>
            </w:pPr>
            <w:r>
              <w:rPr>
                <w:rFonts w:hint="cs"/>
                <w:rtl/>
              </w:rPr>
              <w:t>2.</w:t>
            </w:r>
          </w:p>
        </w:tc>
        <w:tc>
          <w:tcPr>
            <w:tcW w:w="7146" w:type="dxa"/>
            <w:gridSpan w:val="5"/>
          </w:tcPr>
          <w:p w14:paraId="63120009" w14:textId="4297FFDE" w:rsidR="004D7446" w:rsidRDefault="007A43A3" w:rsidP="002C2E1E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בחוק העיקרי, אחרי </w:t>
            </w:r>
            <w:r w:rsidR="004D7446">
              <w:rPr>
                <w:rFonts w:hint="cs"/>
                <w:rtl/>
              </w:rPr>
              <w:t>סעיף 2</w:t>
            </w:r>
            <w:r>
              <w:rPr>
                <w:rFonts w:hint="cs"/>
                <w:rtl/>
              </w:rPr>
              <w:t xml:space="preserve"> </w:t>
            </w:r>
            <w:r w:rsidR="004D7446">
              <w:rPr>
                <w:rFonts w:hint="cs"/>
                <w:rtl/>
              </w:rPr>
              <w:t>יבוא:</w:t>
            </w:r>
          </w:p>
        </w:tc>
      </w:tr>
      <w:tr w:rsidR="004D7446" w14:paraId="4792F8C5" w14:textId="77777777">
        <w:trPr>
          <w:cantSplit/>
          <w:trHeight w:val="60"/>
        </w:trPr>
        <w:tc>
          <w:tcPr>
            <w:tcW w:w="1871" w:type="dxa"/>
          </w:tcPr>
          <w:p w14:paraId="386EF8B0" w14:textId="77777777" w:rsidR="004D7446" w:rsidRDefault="004D7446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14473E00" w14:textId="77777777" w:rsidR="004D7446" w:rsidRDefault="004D7446">
            <w:pPr>
              <w:pStyle w:val="TableText"/>
              <w:keepLines w:val="0"/>
            </w:pPr>
          </w:p>
        </w:tc>
        <w:tc>
          <w:tcPr>
            <w:tcW w:w="1872" w:type="dxa"/>
            <w:gridSpan w:val="3"/>
          </w:tcPr>
          <w:p w14:paraId="0C223E93" w14:textId="4C9DD2CF" w:rsidR="004D7446" w:rsidRDefault="007A43A3">
            <w:pPr>
              <w:pStyle w:val="TableInnerSideHeading"/>
            </w:pPr>
            <w:r>
              <w:rPr>
                <w:rFonts w:hint="cs"/>
                <w:rtl/>
              </w:rPr>
              <w:t>"</w:t>
            </w:r>
            <w:r w:rsidR="004D7446">
              <w:rPr>
                <w:rFonts w:hint="cs"/>
                <w:rtl/>
              </w:rPr>
              <w:t>בדיקת תקינות</w:t>
            </w:r>
            <w:r w:rsidR="006A5236">
              <w:rPr>
                <w:rFonts w:hint="cs"/>
                <w:rtl/>
              </w:rPr>
              <w:t xml:space="preserve"> שנתית של מכשיר החייאה</w:t>
            </w:r>
          </w:p>
        </w:tc>
        <w:tc>
          <w:tcPr>
            <w:tcW w:w="624" w:type="dxa"/>
          </w:tcPr>
          <w:p w14:paraId="18C74633" w14:textId="64508A5E" w:rsidR="004D7446" w:rsidRDefault="007A43A3">
            <w:pPr>
              <w:pStyle w:val="TableText"/>
            </w:pPr>
            <w:r>
              <w:rPr>
                <w:rFonts w:hint="cs"/>
                <w:rtl/>
              </w:rPr>
              <w:t>2א.</w:t>
            </w:r>
          </w:p>
        </w:tc>
        <w:tc>
          <w:tcPr>
            <w:tcW w:w="4650" w:type="dxa"/>
          </w:tcPr>
          <w:p w14:paraId="2FDCE03B" w14:textId="54CCA824" w:rsidR="004D7446" w:rsidRDefault="00801EC8" w:rsidP="00E45613">
            <w:pPr>
              <w:pStyle w:val="TableBlock"/>
            </w:pPr>
            <w:r>
              <w:rPr>
                <w:rFonts w:hint="cs"/>
                <w:rtl/>
              </w:rPr>
              <w:t xml:space="preserve">(א) </w:t>
            </w:r>
            <w:r>
              <w:rPr>
                <w:rtl/>
              </w:rPr>
              <w:tab/>
            </w:r>
            <w:r w:rsidRPr="005C3974">
              <w:rPr>
                <w:rFonts w:hint="cs"/>
                <w:rtl/>
              </w:rPr>
              <w:t xml:space="preserve">מחזיק מקום ציבורי </w:t>
            </w:r>
            <w:r w:rsidR="00E45613">
              <w:rPr>
                <w:rFonts w:hint="cs"/>
                <w:rtl/>
              </w:rPr>
              <w:t xml:space="preserve">יוודא </w:t>
            </w:r>
            <w:r w:rsidR="006A5236">
              <w:rPr>
                <w:rFonts w:hint="cs"/>
                <w:rtl/>
              </w:rPr>
              <w:t xml:space="preserve">אחת לשנה את תקינות מכשיר ההחייאה </w:t>
            </w:r>
            <w:r w:rsidR="00E45613">
              <w:rPr>
                <w:rFonts w:hint="cs"/>
                <w:rtl/>
              </w:rPr>
              <w:t>על ידי מסירתו לבדיקת</w:t>
            </w:r>
            <w:r w:rsidR="006A5236">
              <w:rPr>
                <w:rFonts w:hint="cs"/>
                <w:rtl/>
              </w:rPr>
              <w:t xml:space="preserve"> מגן דוד אדום.</w:t>
            </w:r>
          </w:p>
        </w:tc>
      </w:tr>
      <w:tr w:rsidR="002C2E1E" w14:paraId="41BF8AE3" w14:textId="77777777">
        <w:trPr>
          <w:cantSplit/>
          <w:trHeight w:val="60"/>
        </w:trPr>
        <w:tc>
          <w:tcPr>
            <w:tcW w:w="1871" w:type="dxa"/>
          </w:tcPr>
          <w:p w14:paraId="7FF13151" w14:textId="463ADD7D" w:rsidR="002C2E1E" w:rsidRDefault="002C2E1E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2FDE8D5" w14:textId="77777777" w:rsidR="002C2E1E" w:rsidRDefault="002C2E1E" w:rsidP="002C2E1E">
            <w:pPr>
              <w:pStyle w:val="TableText"/>
            </w:pPr>
          </w:p>
        </w:tc>
        <w:tc>
          <w:tcPr>
            <w:tcW w:w="624" w:type="dxa"/>
          </w:tcPr>
          <w:p w14:paraId="41DA2FAF" w14:textId="77777777" w:rsidR="002C2E1E" w:rsidRDefault="002C2E1E">
            <w:pPr>
              <w:pStyle w:val="TableText"/>
            </w:pPr>
          </w:p>
        </w:tc>
        <w:tc>
          <w:tcPr>
            <w:tcW w:w="624" w:type="dxa"/>
          </w:tcPr>
          <w:p w14:paraId="6A643386" w14:textId="77777777" w:rsidR="002C2E1E" w:rsidRDefault="002C2E1E">
            <w:pPr>
              <w:pStyle w:val="TableText"/>
            </w:pPr>
          </w:p>
        </w:tc>
        <w:tc>
          <w:tcPr>
            <w:tcW w:w="624" w:type="dxa"/>
          </w:tcPr>
          <w:p w14:paraId="21198B8D" w14:textId="77777777" w:rsidR="002C2E1E" w:rsidRDefault="002C2E1E">
            <w:pPr>
              <w:pStyle w:val="TableText"/>
            </w:pPr>
          </w:p>
        </w:tc>
        <w:tc>
          <w:tcPr>
            <w:tcW w:w="624" w:type="dxa"/>
          </w:tcPr>
          <w:p w14:paraId="6C0B5AF7" w14:textId="77777777" w:rsidR="002C2E1E" w:rsidRDefault="002C2E1E">
            <w:pPr>
              <w:pStyle w:val="TableText"/>
            </w:pPr>
          </w:p>
        </w:tc>
        <w:tc>
          <w:tcPr>
            <w:tcW w:w="4650" w:type="dxa"/>
          </w:tcPr>
          <w:p w14:paraId="0AAD9F28" w14:textId="0AAF5FA7" w:rsidR="002C2E1E" w:rsidRDefault="002C2E1E" w:rsidP="006A5236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801EC8">
              <w:rPr>
                <w:rFonts w:hint="cs"/>
                <w:rtl/>
              </w:rPr>
              <w:t>ב</w:t>
            </w:r>
            <w:r>
              <w:rPr>
                <w:rFonts w:hint="cs"/>
                <w:rtl/>
              </w:rPr>
              <w:t xml:space="preserve">) </w:t>
            </w:r>
            <w:r>
              <w:rPr>
                <w:rtl/>
              </w:rPr>
              <w:tab/>
            </w:r>
            <w:r w:rsidR="006A5236">
              <w:rPr>
                <w:rFonts w:hint="cs"/>
                <w:rtl/>
              </w:rPr>
              <w:t>מגן דוד אדום יתעד את הבדיקות שביצע לפי סעיף קטן (א)."</w:t>
            </w:r>
          </w:p>
        </w:tc>
      </w:tr>
      <w:tr w:rsidR="00AE2EF4" w14:paraId="0B259F30" w14:textId="77777777" w:rsidTr="00724744">
        <w:trPr>
          <w:cantSplit/>
          <w:trHeight w:val="60"/>
        </w:trPr>
        <w:tc>
          <w:tcPr>
            <w:tcW w:w="1871" w:type="dxa"/>
          </w:tcPr>
          <w:p w14:paraId="5674F693" w14:textId="1DAA748F" w:rsidR="00AE2EF4" w:rsidRDefault="00AE2EF4">
            <w:pPr>
              <w:pStyle w:val="TableSideHeading"/>
              <w:rPr>
                <w:rtl/>
              </w:rPr>
            </w:pPr>
            <w:r>
              <w:rPr>
                <w:rFonts w:hint="cs"/>
                <w:rtl/>
              </w:rPr>
              <w:t>תיקון חוק מגן דוד אדום</w:t>
            </w:r>
          </w:p>
        </w:tc>
        <w:tc>
          <w:tcPr>
            <w:tcW w:w="624" w:type="dxa"/>
          </w:tcPr>
          <w:p w14:paraId="60244409" w14:textId="2FBFFBC4" w:rsidR="00AE2EF4" w:rsidRDefault="00AE2EF4" w:rsidP="00AE2EF4">
            <w:pPr>
              <w:pStyle w:val="TableText"/>
            </w:pPr>
            <w:r>
              <w:rPr>
                <w:rFonts w:hint="cs"/>
                <w:rtl/>
              </w:rPr>
              <w:t>3.</w:t>
            </w:r>
          </w:p>
        </w:tc>
        <w:tc>
          <w:tcPr>
            <w:tcW w:w="7146" w:type="dxa"/>
            <w:gridSpan w:val="5"/>
          </w:tcPr>
          <w:p w14:paraId="5110C36A" w14:textId="20746BA6" w:rsidR="00AE2EF4" w:rsidRDefault="00AE2EF4" w:rsidP="00F84E68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בחוק מגן דוד אדום, התש"י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1950</w:t>
            </w:r>
            <w:r w:rsidR="006E60B2">
              <w:rPr>
                <w:rStyle w:val="a5"/>
                <w:rtl/>
              </w:rPr>
              <w:footnoteReference w:id="4"/>
            </w:r>
            <w:r w:rsidR="006E60B2">
              <w:rPr>
                <w:rFonts w:hint="cs"/>
                <w:rtl/>
              </w:rPr>
              <w:t xml:space="preserve"> </w:t>
            </w:r>
            <w:r w:rsidR="00F84E68">
              <w:rPr>
                <w:rFonts w:hint="eastAsia"/>
                <w:rtl/>
              </w:rPr>
              <w:t>–</w:t>
            </w:r>
          </w:p>
        </w:tc>
      </w:tr>
      <w:tr w:rsidR="006E60B2" w14:paraId="5E15E995" w14:textId="77777777" w:rsidTr="00724744">
        <w:trPr>
          <w:cantSplit/>
          <w:trHeight w:val="60"/>
        </w:trPr>
        <w:tc>
          <w:tcPr>
            <w:tcW w:w="1871" w:type="dxa"/>
          </w:tcPr>
          <w:p w14:paraId="6C450839" w14:textId="77777777" w:rsidR="006E60B2" w:rsidRDefault="006E60B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2F59607A" w14:textId="77777777" w:rsidR="006E60B2" w:rsidRDefault="006E60B2" w:rsidP="006E60B2">
            <w:pPr>
              <w:pStyle w:val="TableText"/>
              <w:rPr>
                <w:rtl/>
              </w:rPr>
            </w:pPr>
          </w:p>
        </w:tc>
        <w:tc>
          <w:tcPr>
            <w:tcW w:w="7146" w:type="dxa"/>
            <w:gridSpan w:val="5"/>
          </w:tcPr>
          <w:p w14:paraId="12D70635" w14:textId="66E2C9C7" w:rsidR="006E60B2" w:rsidRDefault="006E60B2" w:rsidP="00E45613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(1)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3, אחרי סעיף קטן (</w:t>
            </w:r>
            <w:r w:rsidR="00E45613">
              <w:rPr>
                <w:rFonts w:hint="cs"/>
                <w:rtl/>
              </w:rPr>
              <w:t>ג</w:t>
            </w:r>
            <w:r>
              <w:rPr>
                <w:rFonts w:hint="cs"/>
                <w:rtl/>
              </w:rPr>
              <w:t>) יבוא:</w:t>
            </w:r>
          </w:p>
        </w:tc>
      </w:tr>
      <w:tr w:rsidR="00F84E68" w14:paraId="111C8474" w14:textId="77777777">
        <w:trPr>
          <w:cantSplit/>
          <w:trHeight w:val="60"/>
        </w:trPr>
        <w:tc>
          <w:tcPr>
            <w:tcW w:w="1871" w:type="dxa"/>
          </w:tcPr>
          <w:p w14:paraId="2D527960" w14:textId="77777777" w:rsidR="00F84E68" w:rsidRDefault="00F84E68">
            <w:pPr>
              <w:pStyle w:val="TableSideHeading"/>
            </w:pPr>
          </w:p>
        </w:tc>
        <w:tc>
          <w:tcPr>
            <w:tcW w:w="624" w:type="dxa"/>
          </w:tcPr>
          <w:p w14:paraId="500728F2" w14:textId="77777777" w:rsidR="00F84E68" w:rsidRDefault="00F84E68">
            <w:pPr>
              <w:pStyle w:val="TableText"/>
            </w:pPr>
          </w:p>
        </w:tc>
        <w:tc>
          <w:tcPr>
            <w:tcW w:w="624" w:type="dxa"/>
          </w:tcPr>
          <w:p w14:paraId="3DBABA49" w14:textId="77777777" w:rsidR="00F84E68" w:rsidRDefault="00F84E68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3F894B5A" w14:textId="104E09C2" w:rsidR="00F84E68" w:rsidRDefault="00F84E68" w:rsidP="00F84E68">
            <w:pPr>
              <w:pStyle w:val="TableBlock"/>
            </w:pPr>
            <w:r>
              <w:rPr>
                <w:rFonts w:hint="cs"/>
                <w:rtl/>
              </w:rPr>
              <w:t xml:space="preserve">"(ג1)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לבצע בדיקות תקינות שנתיות של מכשירי החייאה על פי בקשת מחזיק במקום ציבורי בהתאם לחוק הצבת מכשירי החייאה במקומות ציבוריים, התשס"ח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2008."</w:t>
            </w:r>
          </w:p>
        </w:tc>
      </w:tr>
      <w:tr w:rsidR="006E60B2" w14:paraId="3D7F7814" w14:textId="77777777" w:rsidTr="00346B1A">
        <w:trPr>
          <w:cantSplit/>
          <w:trHeight w:val="60"/>
        </w:trPr>
        <w:tc>
          <w:tcPr>
            <w:tcW w:w="1871" w:type="dxa"/>
          </w:tcPr>
          <w:p w14:paraId="6949786B" w14:textId="77777777" w:rsidR="006E60B2" w:rsidRDefault="006E60B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429D8C52" w14:textId="77777777" w:rsidR="006E60B2" w:rsidRDefault="006E60B2" w:rsidP="006E60B2">
            <w:pPr>
              <w:pStyle w:val="TableText"/>
            </w:pPr>
          </w:p>
        </w:tc>
        <w:tc>
          <w:tcPr>
            <w:tcW w:w="7146" w:type="dxa"/>
            <w:gridSpan w:val="5"/>
          </w:tcPr>
          <w:p w14:paraId="311CEB66" w14:textId="5A749430" w:rsidR="006E60B2" w:rsidRDefault="006E60B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 xml:space="preserve">(2) 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7א, אחרי סעיף קטן (ו) יבוא:</w:t>
            </w:r>
          </w:p>
        </w:tc>
      </w:tr>
      <w:tr w:rsidR="00F84E68" w14:paraId="0467B0F4" w14:textId="77777777">
        <w:trPr>
          <w:cantSplit/>
          <w:trHeight w:val="60"/>
        </w:trPr>
        <w:tc>
          <w:tcPr>
            <w:tcW w:w="1871" w:type="dxa"/>
          </w:tcPr>
          <w:p w14:paraId="1CD90A5B" w14:textId="77777777" w:rsidR="00F84E68" w:rsidRDefault="00F84E68">
            <w:pPr>
              <w:pStyle w:val="TableSideHeading"/>
            </w:pPr>
          </w:p>
        </w:tc>
        <w:tc>
          <w:tcPr>
            <w:tcW w:w="624" w:type="dxa"/>
          </w:tcPr>
          <w:p w14:paraId="4D6F0559" w14:textId="77777777" w:rsidR="00F84E68" w:rsidRDefault="00F84E68">
            <w:pPr>
              <w:pStyle w:val="TableText"/>
            </w:pPr>
          </w:p>
        </w:tc>
        <w:tc>
          <w:tcPr>
            <w:tcW w:w="624" w:type="dxa"/>
          </w:tcPr>
          <w:p w14:paraId="372CFB54" w14:textId="77777777" w:rsidR="00F84E68" w:rsidRDefault="00F84E68">
            <w:pPr>
              <w:pStyle w:val="TableText"/>
            </w:pPr>
          </w:p>
        </w:tc>
        <w:tc>
          <w:tcPr>
            <w:tcW w:w="6522" w:type="dxa"/>
            <w:gridSpan w:val="4"/>
          </w:tcPr>
          <w:p w14:paraId="53B290BE" w14:textId="06DFE6CD" w:rsidR="00F84E68" w:rsidRDefault="00F84E68">
            <w:pPr>
              <w:pStyle w:val="TableBlock"/>
            </w:pPr>
            <w:r w:rsidRPr="006E60B2">
              <w:rPr>
                <w:rFonts w:hint="cs"/>
                <w:rtl/>
              </w:rPr>
              <w:t xml:space="preserve">"(ז) </w:t>
            </w:r>
            <w:r w:rsidRPr="006E60B2">
              <w:rPr>
                <w:rtl/>
              </w:rPr>
              <w:tab/>
            </w:r>
            <w:r>
              <w:rPr>
                <w:rFonts w:hint="cs"/>
                <w:rtl/>
              </w:rPr>
              <w:t>שר הכלכלה והתעשייה יקבע</w:t>
            </w:r>
            <w:r w:rsidRPr="00057E9F">
              <w:rPr>
                <w:rtl/>
              </w:rPr>
              <w:t xml:space="preserve"> אגרות לע</w:t>
            </w:r>
            <w:r w:rsidRPr="00057E9F">
              <w:rPr>
                <w:rFonts w:hint="eastAsia"/>
                <w:rtl/>
              </w:rPr>
              <w:t>ני</w:t>
            </w:r>
            <w:r>
              <w:rPr>
                <w:rFonts w:hint="cs"/>
                <w:rtl/>
              </w:rPr>
              <w:t>י</w:t>
            </w:r>
            <w:r w:rsidRPr="00057E9F">
              <w:rPr>
                <w:rFonts w:hint="eastAsia"/>
                <w:rtl/>
              </w:rPr>
              <w:t>ן</w:t>
            </w:r>
            <w:r w:rsidRPr="00057E9F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בדיקות תקינות שנתיות של מכשירי החייאה לפי סעיף 3(ג1)."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F6961CB" w14:textId="741E747D" w:rsidR="00E13C27" w:rsidRDefault="003368FD" w:rsidP="00BB3FB1">
      <w:pPr>
        <w:pStyle w:val="Hesber"/>
        <w:rPr>
          <w:rtl/>
        </w:rPr>
      </w:pPr>
      <w:r>
        <w:rPr>
          <w:rFonts w:hint="cs"/>
          <w:rtl/>
        </w:rPr>
        <w:t>בשנת 2008 נחקק חוק הצבת מכשירי החייאה במקומות ציבוריים</w:t>
      </w:r>
      <w:r w:rsidR="00801EC8">
        <w:rPr>
          <w:rFonts w:hint="cs"/>
          <w:rtl/>
        </w:rPr>
        <w:t>, התשס"ח</w:t>
      </w:r>
      <w:r w:rsidR="00801EC8">
        <w:rPr>
          <w:rFonts w:hint="eastAsia"/>
          <w:rtl/>
        </w:rPr>
        <w:t>–</w:t>
      </w:r>
      <w:r w:rsidR="00801EC8">
        <w:rPr>
          <w:rFonts w:hint="cs"/>
          <w:rtl/>
        </w:rPr>
        <w:t>2008</w:t>
      </w:r>
      <w:r w:rsidR="00E45613">
        <w:rPr>
          <w:rFonts w:hint="cs"/>
          <w:rtl/>
        </w:rPr>
        <w:t xml:space="preserve"> (להלן </w:t>
      </w:r>
      <w:r w:rsidR="00E45613">
        <w:rPr>
          <w:rFonts w:hint="eastAsia"/>
          <w:rtl/>
        </w:rPr>
        <w:t xml:space="preserve">– </w:t>
      </w:r>
      <w:r w:rsidR="00E45613">
        <w:rPr>
          <w:rFonts w:hint="cs"/>
          <w:rtl/>
        </w:rPr>
        <w:t>החוק)</w:t>
      </w:r>
      <w:r w:rsidR="00801EC8">
        <w:rPr>
          <w:rFonts w:hint="cs"/>
          <w:rtl/>
        </w:rPr>
        <w:t>,</w:t>
      </w:r>
      <w:r>
        <w:rPr>
          <w:rFonts w:hint="cs"/>
          <w:rtl/>
        </w:rPr>
        <w:t xml:space="preserve"> אשר נכנס לתוקפו בשנת 2014, עם התקנת תקנות הצבת מכשירי החייאה במקומות ציבוריים, התשע"ד</w:t>
      </w:r>
      <w:r w:rsidR="00801EC8">
        <w:rPr>
          <w:rFonts w:hint="eastAsia"/>
          <w:rtl/>
        </w:rPr>
        <w:t>–</w:t>
      </w:r>
      <w:r>
        <w:rPr>
          <w:rFonts w:hint="cs"/>
          <w:rtl/>
        </w:rPr>
        <w:t xml:space="preserve">2014. על פי החוק, </w:t>
      </w:r>
      <w:r w:rsidR="00E45613">
        <w:rPr>
          <w:rFonts w:hint="cs"/>
          <w:rtl/>
        </w:rPr>
        <w:t xml:space="preserve">מחזיק במקום ציבורי נדרש להציב במקום הציבורי </w:t>
      </w:r>
      <w:r>
        <w:rPr>
          <w:rFonts w:hint="cs"/>
          <w:rtl/>
        </w:rPr>
        <w:t>מכשיר החייאה.</w:t>
      </w:r>
    </w:p>
    <w:p w14:paraId="2B79876E" w14:textId="49EE24F0" w:rsidR="003368FD" w:rsidRDefault="00E45613" w:rsidP="00BB3FB1">
      <w:pPr>
        <w:pStyle w:val="Hesber"/>
        <w:rPr>
          <w:rtl/>
        </w:rPr>
      </w:pPr>
      <w:r>
        <w:rPr>
          <w:rFonts w:hint="cs"/>
          <w:rtl/>
        </w:rPr>
        <w:t>בחוק קיימים</w:t>
      </w:r>
      <w:r w:rsidR="003368FD">
        <w:rPr>
          <w:rFonts w:hint="cs"/>
          <w:rtl/>
        </w:rPr>
        <w:t xml:space="preserve"> כשלים מהותיים  המרוקנים אותו מתוכן. </w:t>
      </w:r>
      <w:r>
        <w:rPr>
          <w:rFonts w:hint="cs"/>
          <w:rtl/>
        </w:rPr>
        <w:t xml:space="preserve">לדוגמא, </w:t>
      </w:r>
      <w:r w:rsidR="00F84E68">
        <w:rPr>
          <w:rFonts w:hint="cs"/>
          <w:rtl/>
        </w:rPr>
        <w:t>יש</w:t>
      </w:r>
      <w:r w:rsidR="00057E9F">
        <w:rPr>
          <w:rFonts w:hint="cs"/>
          <w:rtl/>
        </w:rPr>
        <w:t xml:space="preserve"> </w:t>
      </w:r>
      <w:r>
        <w:rPr>
          <w:rFonts w:hint="cs"/>
          <w:rtl/>
        </w:rPr>
        <w:t>חוסר מודעות ביחס למיקום של מכשירי ההחייאה, אין גורם היודע להדריך את המטפל</w:t>
      </w:r>
      <w:r w:rsidR="00F84E68">
        <w:rPr>
          <w:rFonts w:hint="cs"/>
          <w:rtl/>
        </w:rPr>
        <w:t xml:space="preserve"> כיצד לבצע החייאה באמצעות המכשיר וכיצד </w:t>
      </w:r>
      <w:r>
        <w:rPr>
          <w:rFonts w:hint="cs"/>
          <w:rtl/>
        </w:rPr>
        <w:t>לטפל בתקלות</w:t>
      </w:r>
      <w:r w:rsidR="00F84E68">
        <w:rPr>
          <w:rFonts w:hint="cs"/>
          <w:rtl/>
        </w:rPr>
        <w:t>. לעיתים נעשה שימוש לא נכון במכשיר ואין</w:t>
      </w:r>
      <w:r w:rsidR="00204B93">
        <w:rPr>
          <w:rFonts w:hint="cs"/>
          <w:rtl/>
        </w:rPr>
        <w:t xml:space="preserve"> הוראות המפרטות כיצד להחזיר</w:t>
      </w:r>
      <w:r w:rsidR="00F84E68">
        <w:rPr>
          <w:rFonts w:hint="cs"/>
          <w:rtl/>
        </w:rPr>
        <w:t xml:space="preserve"> לשימוש</w:t>
      </w:r>
      <w:r w:rsidR="00204B93">
        <w:rPr>
          <w:rFonts w:hint="cs"/>
          <w:rtl/>
        </w:rPr>
        <w:t xml:space="preserve"> מכשיר החייאה שנעשה בו שימוש</w:t>
      </w:r>
      <w:r>
        <w:rPr>
          <w:rFonts w:hint="cs"/>
          <w:rtl/>
        </w:rPr>
        <w:t xml:space="preserve">. </w:t>
      </w:r>
      <w:r w:rsidR="00F84E68">
        <w:rPr>
          <w:rFonts w:hint="cs"/>
          <w:rtl/>
        </w:rPr>
        <w:t>לפיכך, הפוטנציאל הטמון במכשירי החייאה המוצבים במקומות ציבוריים לא מתממש</w:t>
      </w:r>
      <w:r w:rsidR="003368FD">
        <w:rPr>
          <w:rFonts w:hint="cs"/>
          <w:rtl/>
        </w:rPr>
        <w:t xml:space="preserve">. </w:t>
      </w:r>
    </w:p>
    <w:p w14:paraId="548A1792" w14:textId="51F31A69" w:rsidR="007678C1" w:rsidRDefault="007678C1" w:rsidP="00BB3FB1">
      <w:pPr>
        <w:pStyle w:val="Hesber"/>
        <w:rPr>
          <w:rtl/>
        </w:rPr>
      </w:pPr>
      <w:r>
        <w:rPr>
          <w:rFonts w:hint="cs"/>
          <w:rtl/>
        </w:rPr>
        <w:t>מוצע</w:t>
      </w:r>
      <w:r w:rsidR="00801EC8">
        <w:rPr>
          <w:rFonts w:hint="cs"/>
          <w:rtl/>
        </w:rPr>
        <w:t xml:space="preserve"> לקבוע </w:t>
      </w:r>
      <w:r w:rsidR="00204B93">
        <w:rPr>
          <w:rFonts w:hint="cs"/>
          <w:rtl/>
        </w:rPr>
        <w:t xml:space="preserve">כי מחזיק במקום ציבורי ימסור למגן דוד אדום </w:t>
      </w:r>
      <w:r w:rsidR="00BB3FB1">
        <w:rPr>
          <w:rFonts w:hint="cs"/>
          <w:rtl/>
        </w:rPr>
        <w:t xml:space="preserve">את מכשיר ההחייאה אחת לשנה לצורך </w:t>
      </w:r>
      <w:r w:rsidR="00204B93">
        <w:rPr>
          <w:rFonts w:hint="cs"/>
          <w:rtl/>
        </w:rPr>
        <w:t>בדיקה</w:t>
      </w:r>
      <w:r w:rsidR="00801EC8">
        <w:rPr>
          <w:rFonts w:hint="cs"/>
          <w:rtl/>
        </w:rPr>
        <w:t xml:space="preserve">. </w:t>
      </w:r>
      <w:r w:rsidR="00F84E68">
        <w:rPr>
          <w:rFonts w:hint="cs"/>
          <w:rtl/>
        </w:rPr>
        <w:t>מגן דוד אדום יתעד את הבדיקות שביצע ויהיה רשאי לגבות אגרות בשל כך.</w:t>
      </w:r>
    </w:p>
    <w:p w14:paraId="6D4A2ED2" w14:textId="77777777" w:rsidR="00BB3FB1" w:rsidRDefault="00BB3FB1" w:rsidP="00BB3FB1">
      <w:pPr>
        <w:pStyle w:val="Hesber"/>
        <w:rPr>
          <w:rtl/>
        </w:rPr>
      </w:pPr>
    </w:p>
    <w:p w14:paraId="65D3396A" w14:textId="77777777" w:rsidR="00BB3FB1" w:rsidRPr="00D73212" w:rsidRDefault="00BB3FB1" w:rsidP="00BB3FB1">
      <w:pPr>
        <w:pStyle w:val="Hesber"/>
        <w:rPr>
          <w:color w:val="auto"/>
          <w:rtl/>
          <w:lang w:eastAsia="en-US"/>
        </w:rPr>
      </w:pPr>
      <w:r w:rsidRPr="00D73212">
        <w:rPr>
          <w:color w:val="auto"/>
          <w:rtl/>
          <w:lang w:eastAsia="en-US"/>
        </w:rPr>
        <w:t>---------------------------------</w:t>
      </w:r>
    </w:p>
    <w:p w14:paraId="734E813B" w14:textId="77777777" w:rsidR="00BB3FB1" w:rsidRPr="00D73212" w:rsidRDefault="00BB3FB1" w:rsidP="00BB3FB1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הוגשה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ליו</w:t>
      </w:r>
      <w:r w:rsidRPr="00D73212">
        <w:rPr>
          <w:color w:val="auto"/>
          <w:rtl/>
          <w:lang w:eastAsia="en-US"/>
        </w:rPr>
        <w:t>"</w:t>
      </w:r>
      <w:r w:rsidRPr="00D73212">
        <w:rPr>
          <w:rFonts w:hint="cs"/>
          <w:color w:val="auto"/>
          <w:rtl/>
          <w:lang w:eastAsia="en-US"/>
        </w:rPr>
        <w:t>ר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והסגנים</w:t>
      </w:r>
    </w:p>
    <w:p w14:paraId="25C09997" w14:textId="77777777" w:rsidR="00BB3FB1" w:rsidRPr="00D73212" w:rsidRDefault="00BB3FB1" w:rsidP="00BB3FB1">
      <w:pPr>
        <w:pStyle w:val="Hesber"/>
        <w:rPr>
          <w:color w:val="auto"/>
          <w:rtl/>
          <w:lang w:eastAsia="en-US"/>
        </w:rPr>
      </w:pPr>
      <w:r w:rsidRPr="00D73212">
        <w:rPr>
          <w:rFonts w:hint="cs"/>
          <w:color w:val="auto"/>
          <w:rtl/>
          <w:lang w:eastAsia="en-US"/>
        </w:rPr>
        <w:t>והונחה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על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שולחן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הכנסת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ביום</w:t>
      </w:r>
    </w:p>
    <w:p w14:paraId="68D0F1B9" w14:textId="77777777" w:rsidR="00BB3FB1" w:rsidRPr="00317312" w:rsidRDefault="00BB3FB1" w:rsidP="00BB3FB1">
      <w:pPr>
        <w:pStyle w:val="Hesber"/>
      </w:pPr>
      <w:r>
        <w:rPr>
          <w:rFonts w:hint="cs"/>
          <w:color w:val="auto"/>
          <w:rtl/>
          <w:lang w:eastAsia="en-US"/>
        </w:rPr>
        <w:t>ו' באדר א'</w:t>
      </w:r>
      <w:r w:rsidRPr="00D73212">
        <w:rPr>
          <w:color w:val="auto"/>
          <w:rtl/>
          <w:lang w:eastAsia="en-US"/>
        </w:rPr>
        <w:t xml:space="preserve"> </w:t>
      </w:r>
      <w:r w:rsidRPr="00D73212">
        <w:rPr>
          <w:rFonts w:hint="cs"/>
          <w:color w:val="auto"/>
          <w:rtl/>
          <w:lang w:eastAsia="en-US"/>
        </w:rPr>
        <w:t>התשע</w:t>
      </w:r>
      <w:r w:rsidRPr="00D73212">
        <w:rPr>
          <w:color w:val="auto"/>
          <w:rtl/>
          <w:lang w:eastAsia="en-US"/>
        </w:rPr>
        <w:t>"</w:t>
      </w:r>
      <w:r>
        <w:rPr>
          <w:rFonts w:hint="cs"/>
          <w:color w:val="auto"/>
          <w:rtl/>
          <w:lang w:eastAsia="en-US"/>
        </w:rPr>
        <w:t>ו</w:t>
      </w:r>
      <w:r w:rsidRPr="00D73212">
        <w:rPr>
          <w:color w:val="auto"/>
          <w:rtl/>
          <w:lang w:eastAsia="en-US"/>
        </w:rPr>
        <w:t xml:space="preserve"> – </w:t>
      </w:r>
      <w:r>
        <w:rPr>
          <w:rFonts w:hint="cs"/>
          <w:color w:val="auto"/>
          <w:rtl/>
          <w:lang w:eastAsia="en-US"/>
        </w:rPr>
        <w:t>15</w:t>
      </w:r>
      <w:r w:rsidRPr="00D73212">
        <w:rPr>
          <w:color w:val="auto"/>
          <w:rtl/>
          <w:lang w:eastAsia="en-US"/>
        </w:rPr>
        <w:t>.</w:t>
      </w:r>
      <w:r>
        <w:rPr>
          <w:rFonts w:hint="cs"/>
          <w:color w:val="auto"/>
          <w:rtl/>
          <w:lang w:eastAsia="en-US"/>
        </w:rPr>
        <w:t>2</w:t>
      </w:r>
      <w:r w:rsidRPr="00D73212">
        <w:rPr>
          <w:color w:val="auto"/>
          <w:rtl/>
          <w:lang w:eastAsia="en-US"/>
        </w:rPr>
        <w:t>.1</w:t>
      </w:r>
      <w:r>
        <w:rPr>
          <w:rFonts w:hint="cs"/>
          <w:color w:val="auto"/>
          <w:rtl/>
          <w:lang w:eastAsia="en-US"/>
        </w:rPr>
        <w:t>6</w:t>
      </w:r>
    </w:p>
    <w:p w14:paraId="32D62511" w14:textId="77777777" w:rsidR="00BB3FB1" w:rsidRPr="00B15BBC" w:rsidRDefault="00BB3FB1" w:rsidP="00BB3FB1">
      <w:pPr>
        <w:spacing w:before="0" w:line="360" w:lineRule="auto"/>
        <w:ind w:left="340" w:firstLine="0"/>
        <w:rPr>
          <w:rFonts w:ascii="Arial" w:eastAsia="Arial Unicode MS" w:hAnsi="Arial" w:cs="David" w:hint="cs"/>
          <w:snapToGrid w:val="0"/>
          <w:spacing w:val="0"/>
          <w:sz w:val="20"/>
          <w:szCs w:val="26"/>
          <w:rtl/>
        </w:rPr>
      </w:pPr>
    </w:p>
    <w:p w14:paraId="355B165C" w14:textId="77777777" w:rsidR="00BB3FB1" w:rsidRDefault="00BB3FB1" w:rsidP="00BB3FB1">
      <w:pPr>
        <w:pStyle w:val="Hesber"/>
        <w:rPr>
          <w:rtl/>
        </w:rPr>
      </w:pPr>
      <w:bookmarkStart w:id="7" w:name="_GoBack"/>
      <w:bookmarkEnd w:id="7"/>
    </w:p>
    <w:p w14:paraId="61899549" w14:textId="77777777" w:rsidR="00BB3FB1" w:rsidRDefault="00BB3FB1" w:rsidP="00BB3FB1">
      <w:pPr>
        <w:pStyle w:val="Hesber"/>
        <w:rPr>
          <w:rtl/>
        </w:rPr>
      </w:pPr>
    </w:p>
    <w:sectPr w:rsidR="00BB3FB1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BB3FB1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10D044A8" w14:textId="60FCC174" w:rsidR="007A43A3" w:rsidRDefault="007A43A3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התשס"ח, עמ' 680.</w:t>
      </w:r>
    </w:p>
  </w:footnote>
  <w:footnote w:id="3">
    <w:p w14:paraId="26589DB3" w14:textId="7EB32FE7" w:rsidR="007A43A3" w:rsidRDefault="007A43A3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התש"י, עמ' 175.</w:t>
      </w:r>
    </w:p>
  </w:footnote>
  <w:footnote w:id="4">
    <w:p w14:paraId="20A3E024" w14:textId="3DB715CF" w:rsidR="006E60B2" w:rsidRDefault="006E60B2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התש"י, עמ' 175.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15504"/>
    <w:multiLevelType w:val="hybridMultilevel"/>
    <w:tmpl w:val="8BEA0F82"/>
    <w:lvl w:ilvl="0" w:tplc="684CBE28">
      <w:start w:val="1"/>
      <w:numFmt w:val="hebrew1"/>
      <w:lvlText w:val="(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623B1"/>
    <w:multiLevelType w:val="hybridMultilevel"/>
    <w:tmpl w:val="1BC81588"/>
    <w:lvl w:ilvl="0" w:tplc="3B7EE06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57E9F"/>
    <w:rsid w:val="00063A3E"/>
    <w:rsid w:val="00072CAC"/>
    <w:rsid w:val="0007681A"/>
    <w:rsid w:val="000A542E"/>
    <w:rsid w:val="000E5406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04B93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1E"/>
    <w:rsid w:val="002C2E29"/>
    <w:rsid w:val="002C3041"/>
    <w:rsid w:val="002D1EE3"/>
    <w:rsid w:val="002F1D80"/>
    <w:rsid w:val="003232A2"/>
    <w:rsid w:val="00325C14"/>
    <w:rsid w:val="003368FD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D7446"/>
    <w:rsid w:val="004E4552"/>
    <w:rsid w:val="004E6CDF"/>
    <w:rsid w:val="00553C9D"/>
    <w:rsid w:val="00562A66"/>
    <w:rsid w:val="005B064E"/>
    <w:rsid w:val="005D51AE"/>
    <w:rsid w:val="00603C4E"/>
    <w:rsid w:val="0062674B"/>
    <w:rsid w:val="006363B2"/>
    <w:rsid w:val="00644940"/>
    <w:rsid w:val="006818A9"/>
    <w:rsid w:val="006A2D81"/>
    <w:rsid w:val="006A5236"/>
    <w:rsid w:val="006C1D0D"/>
    <w:rsid w:val="006E60B2"/>
    <w:rsid w:val="0070601E"/>
    <w:rsid w:val="00712C72"/>
    <w:rsid w:val="00735FE9"/>
    <w:rsid w:val="00763CAA"/>
    <w:rsid w:val="00765F66"/>
    <w:rsid w:val="007678C1"/>
    <w:rsid w:val="0077203B"/>
    <w:rsid w:val="0078664F"/>
    <w:rsid w:val="007A43A3"/>
    <w:rsid w:val="007C3FA6"/>
    <w:rsid w:val="007D585A"/>
    <w:rsid w:val="007D5A12"/>
    <w:rsid w:val="007E59F9"/>
    <w:rsid w:val="00801EC8"/>
    <w:rsid w:val="00810BCD"/>
    <w:rsid w:val="00812C98"/>
    <w:rsid w:val="00814D92"/>
    <w:rsid w:val="0083181D"/>
    <w:rsid w:val="00843EB2"/>
    <w:rsid w:val="00865572"/>
    <w:rsid w:val="00874BBC"/>
    <w:rsid w:val="00886E4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E2EF4"/>
    <w:rsid w:val="00B10265"/>
    <w:rsid w:val="00B16A99"/>
    <w:rsid w:val="00B21211"/>
    <w:rsid w:val="00B35784"/>
    <w:rsid w:val="00B733A7"/>
    <w:rsid w:val="00B75C91"/>
    <w:rsid w:val="00B975AD"/>
    <w:rsid w:val="00BB3FB1"/>
    <w:rsid w:val="00BC45FB"/>
    <w:rsid w:val="00BF148D"/>
    <w:rsid w:val="00C23B1A"/>
    <w:rsid w:val="00C310EB"/>
    <w:rsid w:val="00C65871"/>
    <w:rsid w:val="00C9176A"/>
    <w:rsid w:val="00CF1AA2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45613"/>
    <w:rsid w:val="00E55A60"/>
    <w:rsid w:val="00E62778"/>
    <w:rsid w:val="00E63D38"/>
    <w:rsid w:val="00E665B9"/>
    <w:rsid w:val="00E74F21"/>
    <w:rsid w:val="00EA01E6"/>
    <w:rsid w:val="00EA3DE8"/>
    <w:rsid w:val="00EA758F"/>
    <w:rsid w:val="00ED4A6F"/>
    <w:rsid w:val="00ED6937"/>
    <w:rsid w:val="00EF3A3A"/>
    <w:rsid w:val="00F628D6"/>
    <w:rsid w:val="00F67051"/>
    <w:rsid w:val="00F84E68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1A60ABA3-C93A-4742-9E54-BBDABE4B3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default">
    <w:name w:val="default"/>
    <w:basedOn w:val="a0"/>
    <w:rsid w:val="006E60B2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link w:val="P000"/>
    <w:rsid w:val="006E60B2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P000">
    <w:name w:val="P00 תו"/>
    <w:basedOn w:val="a0"/>
    <w:link w:val="P00"/>
    <w:rsid w:val="006E60B2"/>
    <w:rPr>
      <w:rFonts w:eastAsia="Times New Roman"/>
      <w:noProof/>
      <w:szCs w:val="26"/>
      <w:lang w:eastAsia="he-IL"/>
    </w:rPr>
  </w:style>
  <w:style w:type="paragraph" w:styleId="ad">
    <w:name w:val="Revision"/>
    <w:hidden/>
    <w:uiPriority w:val="99"/>
    <w:semiHidden/>
    <w:rsid w:val="00E45613"/>
    <w:rPr>
      <w:rFonts w:ascii="Hadasa Roso SL" w:hAnsi="Hadasa Roso SL" w:cs="Hadasa Roso SL"/>
      <w:color w:val="000000"/>
      <w:spacing w:val="1"/>
      <w:sz w:val="17"/>
      <w:szCs w:val="17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4F534A-1249-4496-B5FA-9A01772AF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62570-30F2-4FFD-8E36-784E78BCA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335</Words>
  <Characters>1676</Characters>
  <Application>Microsoft Office Word</Application>
  <DocSecurity>0</DocSecurity>
  <Lines>13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13</cp:revision>
  <cp:lastPrinted>2016-02-14T07:17:00Z</cp:lastPrinted>
  <dcterms:created xsi:type="dcterms:W3CDTF">2015-04-20T09:58:00Z</dcterms:created>
  <dcterms:modified xsi:type="dcterms:W3CDTF">2016-02-14T07:18:00Z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572481</vt:r8>
  </property>
</Properties>
</file>