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BAB93" w14:textId="77777777" w:rsidR="00321145" w:rsidRPr="0000131B" w:rsidRDefault="00321145" w:rsidP="00321145">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574097</w:t>
      </w:r>
      <w:bookmarkEnd w:id="0"/>
    </w:p>
    <w:p w14:paraId="68E1E2F1" w14:textId="77777777" w:rsidR="00321145" w:rsidRPr="00DB7060" w:rsidRDefault="00321145" w:rsidP="00321145">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3CCC2EC3" w14:textId="77777777" w:rsidR="00321145" w:rsidRPr="00F67051" w:rsidRDefault="00321145" w:rsidP="00321145">
      <w:pPr>
        <w:rPr>
          <w:rFonts w:cs="David"/>
          <w:b/>
          <w:bCs/>
          <w:sz w:val="26"/>
          <w:szCs w:val="26"/>
          <w:rtl/>
        </w:rPr>
      </w:pPr>
    </w:p>
    <w:p w14:paraId="04532D89" w14:textId="04D3AEBB" w:rsidR="00321145" w:rsidRPr="00CF1AA2" w:rsidRDefault="00321145" w:rsidP="00AE6195">
      <w:pPr>
        <w:pStyle w:val="David"/>
        <w:spacing w:line="360" w:lineRule="auto"/>
        <w:ind w:left="3544"/>
        <w:rPr>
          <w:b/>
          <w:bCs/>
          <w:sz w:val="16"/>
          <w:szCs w:val="16"/>
          <w:rtl/>
        </w:rPr>
      </w:pPr>
      <w:bookmarkStart w:id="2" w:name="LGS_Initiators_List"/>
      <w:r>
        <w:rPr>
          <w:b/>
          <w:bCs/>
          <w:rtl/>
        </w:rPr>
        <w:t>יוזמים:      חברי הכנסת</w:t>
      </w:r>
      <w:bookmarkEnd w:id="2"/>
      <w:r w:rsidRPr="00F67051">
        <w:rPr>
          <w:b/>
          <w:bCs/>
        </w:rPr>
        <w:tab/>
      </w:r>
      <w:bookmarkStart w:id="3" w:name="LGS_PM_Names"/>
      <w:r>
        <w:rPr>
          <w:rFonts w:hint="cs"/>
          <w:b/>
          <w:bCs/>
          <w:rtl/>
        </w:rPr>
        <w:t>אלעזר שטרן</w:t>
      </w:r>
      <w:r>
        <w:br/>
      </w:r>
      <w:r>
        <w:rPr>
          <w:rFonts w:hint="cs"/>
          <w:b/>
          <w:bCs/>
          <w:rtl/>
        </w:rPr>
        <w:t xml:space="preserve"> </w:t>
      </w:r>
      <w:r>
        <w:tab/>
      </w:r>
      <w:r>
        <w:tab/>
      </w:r>
      <w:r>
        <w:tab/>
      </w:r>
      <w:r>
        <w:tab/>
      </w:r>
      <w:r>
        <w:rPr>
          <w:rFonts w:hint="cs"/>
          <w:b/>
          <w:bCs/>
          <w:rtl/>
        </w:rPr>
        <w:t>יאיר לפיד</w:t>
      </w:r>
      <w:r>
        <w:br/>
      </w:r>
      <w:r>
        <w:rPr>
          <w:rFonts w:hint="cs"/>
          <w:b/>
          <w:bCs/>
          <w:rtl/>
        </w:rPr>
        <w:t xml:space="preserve"> </w:t>
      </w:r>
      <w:r>
        <w:tab/>
      </w:r>
      <w:r>
        <w:tab/>
      </w:r>
      <w:r>
        <w:tab/>
      </w:r>
      <w:r>
        <w:tab/>
      </w:r>
      <w:r>
        <w:rPr>
          <w:rFonts w:hint="cs"/>
          <w:b/>
          <w:bCs/>
          <w:rtl/>
        </w:rPr>
        <w:t>יצחק הרצוג</w:t>
      </w:r>
      <w:r>
        <w:br/>
      </w:r>
      <w:r>
        <w:rPr>
          <w:rFonts w:hint="cs"/>
          <w:b/>
          <w:bCs/>
          <w:rtl/>
        </w:rPr>
        <w:t xml:space="preserve"> </w:t>
      </w:r>
      <w:r>
        <w:tab/>
      </w:r>
      <w:r>
        <w:tab/>
      </w:r>
      <w:r>
        <w:tab/>
      </w:r>
      <w:r>
        <w:tab/>
      </w:r>
      <w:r>
        <w:rPr>
          <w:rFonts w:hint="cs"/>
          <w:b/>
          <w:bCs/>
          <w:rtl/>
        </w:rPr>
        <w:t>אביגדור ליברמן</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0606820B" w14:textId="77777777" w:rsidR="00321145" w:rsidRPr="00904591" w:rsidRDefault="00321145" w:rsidP="00321145">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42B7945B" w14:textId="77777777" w:rsidR="00321145" w:rsidRPr="00E06736" w:rsidRDefault="00321145" w:rsidP="00321145">
      <w:pPr>
        <w:pStyle w:val="David"/>
        <w:spacing w:before="0" w:line="240" w:lineRule="auto"/>
        <w:ind w:left="3544"/>
        <w:rPr>
          <w:rtl/>
        </w:rPr>
      </w:pPr>
      <w:r>
        <w:t xml:space="preserve">                                             </w:t>
      </w:r>
      <w:bookmarkStart w:id="6" w:name="Private_Number"/>
      <w:r>
        <w:rPr>
          <w:rFonts w:hint="cs"/>
          <w:rtl/>
        </w:rPr>
        <w:t>פ/2590/20</w:t>
      </w:r>
      <w:bookmarkEnd w:id="6"/>
    </w:p>
    <w:p w14:paraId="17C34F1B" w14:textId="77777777" w:rsidR="00321145" w:rsidRDefault="00321145" w:rsidP="00321145">
      <w:pPr>
        <w:spacing w:before="0" w:line="360" w:lineRule="auto"/>
        <w:ind w:left="2880" w:firstLine="720"/>
        <w:rPr>
          <w:rFonts w:cs="David"/>
          <w:sz w:val="26"/>
          <w:szCs w:val="26"/>
          <w:rtl/>
        </w:rPr>
      </w:pPr>
    </w:p>
    <w:p w14:paraId="3ABE6EB0" w14:textId="77777777" w:rsidR="00321145" w:rsidRDefault="00321145" w:rsidP="00321145">
      <w:pPr>
        <w:pStyle w:val="HeadHatzaotHok"/>
        <w:rPr>
          <w:rtl/>
        </w:rPr>
      </w:pPr>
      <w:bookmarkStart w:id="7" w:name="LGS_Subject"/>
      <w:r>
        <w:rPr>
          <w:rFonts w:hint="cs"/>
          <w:rtl/>
        </w:rPr>
        <w:t>הצעת חוק לתיקון פקודת העדה הדתית (המרה) (גיור על ידי רב מקומי), התשע"ו–2016</w:t>
      </w:r>
      <w:bookmarkEnd w:id="7"/>
      <w:r>
        <w:rPr>
          <w:rtl/>
        </w:rPr>
        <w:br/>
      </w: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624"/>
        <w:gridCol w:w="3401"/>
      </w:tblGrid>
      <w:tr w:rsidR="00321145" w:rsidRPr="00B563E8" w14:paraId="3D429996" w14:textId="77777777" w:rsidTr="00AA324E">
        <w:trPr>
          <w:cantSplit/>
        </w:trPr>
        <w:tc>
          <w:tcPr>
            <w:tcW w:w="1869" w:type="dxa"/>
            <w:shd w:val="clear" w:color="auto" w:fill="auto"/>
            <w:tcMar>
              <w:top w:w="91" w:type="dxa"/>
              <w:left w:w="0" w:type="dxa"/>
              <w:bottom w:w="91" w:type="dxa"/>
              <w:right w:w="0" w:type="dxa"/>
            </w:tcMar>
          </w:tcPr>
          <w:p w14:paraId="36A93266" w14:textId="77777777" w:rsidR="00321145" w:rsidRPr="00B563E8" w:rsidRDefault="00321145" w:rsidP="00AA324E">
            <w:pPr>
              <w:pStyle w:val="TableSideHeading"/>
              <w:rPr>
                <w:rtl/>
              </w:rPr>
            </w:pPr>
            <w:r w:rsidRPr="00B563E8">
              <w:rPr>
                <w:rtl/>
              </w:rPr>
              <w:t>הוספת כותרת</w:t>
            </w:r>
            <w:r>
              <w:rPr>
                <w:rFonts w:hint="cs"/>
                <w:rtl/>
              </w:rPr>
              <w:t xml:space="preserve"> </w:t>
            </w:r>
            <w:r>
              <w:rPr>
                <w:rFonts w:hint="cs"/>
                <w:rtl/>
              </w:rPr>
              <w:br/>
            </w:r>
            <w:r w:rsidRPr="00B563E8">
              <w:rPr>
                <w:rtl/>
              </w:rPr>
              <w:t>פרק א׳</w:t>
            </w:r>
          </w:p>
        </w:tc>
        <w:tc>
          <w:tcPr>
            <w:tcW w:w="624" w:type="dxa"/>
            <w:shd w:val="clear" w:color="auto" w:fill="auto"/>
            <w:tcMar>
              <w:top w:w="91" w:type="dxa"/>
              <w:left w:w="0" w:type="dxa"/>
              <w:bottom w:w="91" w:type="dxa"/>
              <w:right w:w="0" w:type="dxa"/>
            </w:tcMar>
          </w:tcPr>
          <w:p w14:paraId="13FF5271" w14:textId="77777777" w:rsidR="00321145" w:rsidRPr="00B563E8" w:rsidRDefault="00321145" w:rsidP="00AA324E">
            <w:pPr>
              <w:pStyle w:val="TableText"/>
              <w:rPr>
                <w:rtl/>
              </w:rPr>
            </w:pPr>
            <w:r w:rsidRPr="00B563E8">
              <w:rPr>
                <w:rtl/>
              </w:rPr>
              <w:t>1.</w:t>
            </w:r>
          </w:p>
        </w:tc>
        <w:tc>
          <w:tcPr>
            <w:tcW w:w="7145" w:type="dxa"/>
            <w:gridSpan w:val="7"/>
            <w:shd w:val="clear" w:color="auto" w:fill="auto"/>
            <w:tcMar>
              <w:top w:w="91" w:type="dxa"/>
              <w:left w:w="0" w:type="dxa"/>
              <w:bottom w:w="91" w:type="dxa"/>
              <w:right w:w="0" w:type="dxa"/>
            </w:tcMar>
          </w:tcPr>
          <w:p w14:paraId="450A754B" w14:textId="77777777" w:rsidR="00321145" w:rsidRPr="00B563E8" w:rsidRDefault="00321145" w:rsidP="00AA324E">
            <w:pPr>
              <w:pStyle w:val="TableBlock"/>
              <w:rPr>
                <w:rtl/>
              </w:rPr>
            </w:pPr>
            <w:r w:rsidRPr="00B563E8">
              <w:rPr>
                <w:rtl/>
              </w:rPr>
              <w:t>בפקודת העדה הדתית (המרה)‏</w:t>
            </w:r>
            <w:r w:rsidRPr="00B563E8">
              <w:rPr>
                <w:rStyle w:val="a6"/>
                <w:rtl/>
              </w:rPr>
              <w:footnoteReference w:id="2"/>
            </w:r>
            <w:r w:rsidRPr="00B563E8">
              <w:rPr>
                <w:rtl/>
              </w:rPr>
              <w:t xml:space="preserve"> (להלן – הפקודה), לפני סעיף 1 יבוא:</w:t>
            </w:r>
          </w:p>
        </w:tc>
      </w:tr>
      <w:tr w:rsidR="00321145" w:rsidRPr="00B563E8" w14:paraId="1134260B" w14:textId="77777777" w:rsidTr="00AA324E">
        <w:trPr>
          <w:cantSplit/>
        </w:trPr>
        <w:tc>
          <w:tcPr>
            <w:tcW w:w="1869" w:type="dxa"/>
            <w:shd w:val="clear" w:color="auto" w:fill="auto"/>
          </w:tcPr>
          <w:p w14:paraId="3F0AD314" w14:textId="77777777" w:rsidR="00321145" w:rsidRPr="00B64481" w:rsidRDefault="00321145" w:rsidP="00AA324E">
            <w:pPr>
              <w:pStyle w:val="TableSideHeading"/>
              <w:ind w:right="0"/>
              <w:rPr>
                <w:rtl/>
              </w:rPr>
            </w:pPr>
          </w:p>
        </w:tc>
        <w:tc>
          <w:tcPr>
            <w:tcW w:w="624" w:type="dxa"/>
            <w:shd w:val="clear" w:color="auto" w:fill="auto"/>
            <w:tcMar>
              <w:top w:w="91" w:type="dxa"/>
              <w:left w:w="0" w:type="dxa"/>
              <w:bottom w:w="91" w:type="dxa"/>
              <w:right w:w="0" w:type="dxa"/>
            </w:tcMar>
          </w:tcPr>
          <w:p w14:paraId="1D5079F7" w14:textId="77777777" w:rsidR="00321145" w:rsidRPr="00B563E8" w:rsidRDefault="00321145" w:rsidP="00AA324E">
            <w:pPr>
              <w:pStyle w:val="TableText"/>
              <w:rPr>
                <w:rtl/>
              </w:rPr>
            </w:pPr>
          </w:p>
        </w:tc>
        <w:tc>
          <w:tcPr>
            <w:tcW w:w="7145" w:type="dxa"/>
            <w:gridSpan w:val="7"/>
            <w:shd w:val="clear" w:color="auto" w:fill="auto"/>
            <w:tcMar>
              <w:top w:w="91" w:type="dxa"/>
              <w:left w:w="0" w:type="dxa"/>
              <w:bottom w:w="91" w:type="dxa"/>
              <w:right w:w="0" w:type="dxa"/>
            </w:tcMar>
          </w:tcPr>
          <w:p w14:paraId="3363A816" w14:textId="29D613FD" w:rsidR="00321145" w:rsidRPr="00B563E8" w:rsidRDefault="00321145" w:rsidP="00AA324E">
            <w:pPr>
              <w:pStyle w:val="TableHead"/>
              <w:rPr>
                <w:rtl/>
              </w:rPr>
            </w:pPr>
            <w:r w:rsidRPr="00B563E8">
              <w:rPr>
                <w:rtl/>
              </w:rPr>
              <w:t>"פרק א': המרת עדה"</w:t>
            </w:r>
            <w:r w:rsidR="00376397">
              <w:rPr>
                <w:rFonts w:hint="cs"/>
                <w:rtl/>
              </w:rPr>
              <w:t>.</w:t>
            </w:r>
          </w:p>
        </w:tc>
      </w:tr>
      <w:tr w:rsidR="00321145" w:rsidRPr="00B563E8" w14:paraId="1626EE38" w14:textId="77777777" w:rsidTr="00AA324E">
        <w:trPr>
          <w:cantSplit/>
        </w:trPr>
        <w:tc>
          <w:tcPr>
            <w:tcW w:w="1869" w:type="dxa"/>
            <w:shd w:val="clear" w:color="auto" w:fill="auto"/>
            <w:tcMar>
              <w:top w:w="91" w:type="dxa"/>
              <w:left w:w="0" w:type="dxa"/>
              <w:bottom w:w="91" w:type="dxa"/>
              <w:right w:w="0" w:type="dxa"/>
            </w:tcMar>
          </w:tcPr>
          <w:p w14:paraId="18A42381" w14:textId="77777777" w:rsidR="00321145" w:rsidRPr="00B563E8" w:rsidRDefault="00321145" w:rsidP="00AA324E">
            <w:pPr>
              <w:pStyle w:val="TableSideHeading"/>
              <w:rPr>
                <w:rtl/>
              </w:rPr>
            </w:pPr>
            <w:r w:rsidRPr="00B563E8">
              <w:rPr>
                <w:rtl/>
              </w:rPr>
              <w:t>הוספת פרק ב'</w:t>
            </w:r>
          </w:p>
        </w:tc>
        <w:tc>
          <w:tcPr>
            <w:tcW w:w="624" w:type="dxa"/>
            <w:shd w:val="clear" w:color="auto" w:fill="auto"/>
            <w:tcMar>
              <w:top w:w="91" w:type="dxa"/>
              <w:left w:w="0" w:type="dxa"/>
              <w:bottom w:w="91" w:type="dxa"/>
              <w:right w:w="0" w:type="dxa"/>
            </w:tcMar>
          </w:tcPr>
          <w:p w14:paraId="6BF2C57B" w14:textId="77777777" w:rsidR="00321145" w:rsidRPr="00B563E8" w:rsidRDefault="00321145" w:rsidP="00AA324E">
            <w:pPr>
              <w:pStyle w:val="TableText"/>
              <w:rPr>
                <w:rtl/>
              </w:rPr>
            </w:pPr>
            <w:r w:rsidRPr="00B563E8">
              <w:rPr>
                <w:rtl/>
              </w:rPr>
              <w:t>2.</w:t>
            </w:r>
          </w:p>
        </w:tc>
        <w:tc>
          <w:tcPr>
            <w:tcW w:w="7145" w:type="dxa"/>
            <w:gridSpan w:val="7"/>
            <w:shd w:val="clear" w:color="auto" w:fill="auto"/>
            <w:tcMar>
              <w:top w:w="91" w:type="dxa"/>
              <w:left w:w="0" w:type="dxa"/>
              <w:bottom w:w="91" w:type="dxa"/>
              <w:right w:w="0" w:type="dxa"/>
            </w:tcMar>
          </w:tcPr>
          <w:p w14:paraId="5B8EF3AC" w14:textId="77777777" w:rsidR="00321145" w:rsidRPr="00B563E8" w:rsidRDefault="00321145" w:rsidP="00AA324E">
            <w:pPr>
              <w:pStyle w:val="TableBlock"/>
              <w:rPr>
                <w:rtl/>
              </w:rPr>
            </w:pPr>
            <w:r w:rsidRPr="00B563E8">
              <w:rPr>
                <w:rtl/>
              </w:rPr>
              <w:t>אחרי סעיף 4 לפקודה יבוא:</w:t>
            </w:r>
          </w:p>
        </w:tc>
      </w:tr>
      <w:tr w:rsidR="00321145" w:rsidRPr="00B563E8" w14:paraId="1AD9D448" w14:textId="77777777" w:rsidTr="00AA324E">
        <w:trPr>
          <w:cantSplit/>
        </w:trPr>
        <w:tc>
          <w:tcPr>
            <w:tcW w:w="1869" w:type="dxa"/>
            <w:shd w:val="clear" w:color="auto" w:fill="auto"/>
            <w:tcMar>
              <w:top w:w="91" w:type="dxa"/>
              <w:left w:w="0" w:type="dxa"/>
              <w:bottom w:w="91" w:type="dxa"/>
              <w:right w:w="0" w:type="dxa"/>
            </w:tcMar>
          </w:tcPr>
          <w:p w14:paraId="6E8DA0EC"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4A6381FC" w14:textId="77777777" w:rsidR="00321145" w:rsidRPr="00B563E8" w:rsidRDefault="00321145" w:rsidP="00AA324E">
            <w:pPr>
              <w:pStyle w:val="TableText"/>
              <w:rPr>
                <w:rtl/>
              </w:rPr>
            </w:pPr>
          </w:p>
        </w:tc>
        <w:tc>
          <w:tcPr>
            <w:tcW w:w="7145" w:type="dxa"/>
            <w:gridSpan w:val="7"/>
            <w:shd w:val="clear" w:color="auto" w:fill="auto"/>
            <w:tcMar>
              <w:top w:w="91" w:type="dxa"/>
              <w:left w:w="0" w:type="dxa"/>
              <w:bottom w:w="91" w:type="dxa"/>
              <w:right w:w="0" w:type="dxa"/>
            </w:tcMar>
          </w:tcPr>
          <w:p w14:paraId="667E6AF3" w14:textId="77777777" w:rsidR="00321145" w:rsidRPr="00B563E8" w:rsidRDefault="00321145" w:rsidP="00AA324E">
            <w:pPr>
              <w:pStyle w:val="TableHead"/>
              <w:rPr>
                <w:rtl/>
              </w:rPr>
            </w:pPr>
            <w:r w:rsidRPr="00B563E8">
              <w:rPr>
                <w:rtl/>
              </w:rPr>
              <w:t>"פרק ב': מערך הגיור ובתי דין לגיור</w:t>
            </w:r>
          </w:p>
        </w:tc>
      </w:tr>
      <w:tr w:rsidR="00321145" w:rsidRPr="00B563E8" w14:paraId="736A16A9" w14:textId="77777777" w:rsidTr="00AA324E">
        <w:trPr>
          <w:cantSplit/>
        </w:trPr>
        <w:tc>
          <w:tcPr>
            <w:tcW w:w="1869" w:type="dxa"/>
            <w:shd w:val="clear" w:color="auto" w:fill="auto"/>
            <w:tcMar>
              <w:top w:w="91" w:type="dxa"/>
              <w:left w:w="0" w:type="dxa"/>
              <w:bottom w:w="91" w:type="dxa"/>
              <w:right w:w="0" w:type="dxa"/>
            </w:tcMar>
          </w:tcPr>
          <w:p w14:paraId="31B18621"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2736DC5"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2146C083" w14:textId="77777777" w:rsidR="00321145" w:rsidRPr="00B563E8" w:rsidRDefault="00321145" w:rsidP="00AA324E">
            <w:pPr>
              <w:pStyle w:val="TableInnerSideHeading"/>
              <w:rPr>
                <w:rtl/>
              </w:rPr>
            </w:pPr>
            <w:r w:rsidRPr="00B563E8">
              <w:rPr>
                <w:rtl/>
              </w:rPr>
              <w:t>הגדרות</w:t>
            </w:r>
          </w:p>
        </w:tc>
        <w:tc>
          <w:tcPr>
            <w:tcW w:w="624" w:type="dxa"/>
            <w:shd w:val="clear" w:color="auto" w:fill="auto"/>
            <w:tcMar>
              <w:top w:w="91" w:type="dxa"/>
              <w:left w:w="0" w:type="dxa"/>
              <w:bottom w:w="91" w:type="dxa"/>
              <w:right w:w="0" w:type="dxa"/>
            </w:tcMar>
          </w:tcPr>
          <w:p w14:paraId="32541FEF" w14:textId="77777777" w:rsidR="00321145" w:rsidRPr="00B64481" w:rsidRDefault="00321145" w:rsidP="00AA324E">
            <w:pPr>
              <w:pStyle w:val="TableText"/>
              <w:ind w:right="0"/>
              <w:jc w:val="both"/>
              <w:rPr>
                <w:rtl/>
              </w:rPr>
            </w:pPr>
            <w:r w:rsidRPr="00B64481">
              <w:rPr>
                <w:rtl/>
              </w:rPr>
              <w:t>5.</w:t>
            </w:r>
          </w:p>
        </w:tc>
        <w:tc>
          <w:tcPr>
            <w:tcW w:w="4649" w:type="dxa"/>
            <w:gridSpan w:val="3"/>
            <w:shd w:val="clear" w:color="auto" w:fill="auto"/>
            <w:tcMar>
              <w:top w:w="91" w:type="dxa"/>
              <w:left w:w="0" w:type="dxa"/>
              <w:bottom w:w="91" w:type="dxa"/>
              <w:right w:w="0" w:type="dxa"/>
            </w:tcMar>
          </w:tcPr>
          <w:p w14:paraId="6059E319" w14:textId="77777777" w:rsidR="00321145" w:rsidRPr="00B563E8" w:rsidRDefault="00321145" w:rsidP="00AA324E">
            <w:pPr>
              <w:pStyle w:val="TableBlock"/>
              <w:rPr>
                <w:rtl/>
              </w:rPr>
            </w:pPr>
            <w:r w:rsidRPr="00B563E8">
              <w:rPr>
                <w:rtl/>
              </w:rPr>
              <w:t>בפרק זה –</w:t>
            </w:r>
          </w:p>
        </w:tc>
      </w:tr>
      <w:tr w:rsidR="00321145" w:rsidRPr="00B563E8" w14:paraId="2EE2B1A7" w14:textId="77777777" w:rsidTr="00AA324E">
        <w:trPr>
          <w:cantSplit/>
        </w:trPr>
        <w:tc>
          <w:tcPr>
            <w:tcW w:w="1869" w:type="dxa"/>
            <w:shd w:val="clear" w:color="auto" w:fill="auto"/>
            <w:tcMar>
              <w:top w:w="91" w:type="dxa"/>
              <w:left w:w="0" w:type="dxa"/>
              <w:bottom w:w="91" w:type="dxa"/>
              <w:right w:w="0" w:type="dxa"/>
            </w:tcMar>
          </w:tcPr>
          <w:p w14:paraId="47F456C4"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3B1835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C081D7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E5EF99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C99881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905E432"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32101AD8" w14:textId="77777777" w:rsidR="00321145" w:rsidRPr="00B563E8" w:rsidRDefault="00321145" w:rsidP="00AA324E">
            <w:pPr>
              <w:pStyle w:val="TableBlockOutdent"/>
              <w:rPr>
                <w:rtl/>
              </w:rPr>
            </w:pPr>
            <w:r w:rsidRPr="00B563E8">
              <w:rPr>
                <w:rtl/>
              </w:rPr>
              <w:t>"בית דין לגיור" – בית דין שהוקם לפי פרק זה;</w:t>
            </w:r>
          </w:p>
        </w:tc>
      </w:tr>
      <w:tr w:rsidR="00321145" w:rsidRPr="00B563E8" w14:paraId="44518072" w14:textId="77777777" w:rsidTr="00AA324E">
        <w:trPr>
          <w:cantSplit/>
        </w:trPr>
        <w:tc>
          <w:tcPr>
            <w:tcW w:w="1869" w:type="dxa"/>
            <w:shd w:val="clear" w:color="auto" w:fill="auto"/>
            <w:tcMar>
              <w:top w:w="91" w:type="dxa"/>
              <w:left w:w="0" w:type="dxa"/>
              <w:bottom w:w="91" w:type="dxa"/>
              <w:right w:w="0" w:type="dxa"/>
            </w:tcMar>
          </w:tcPr>
          <w:p w14:paraId="49C61DB2"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506E212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BFBFB0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CD9945A"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21D40F9"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7526918"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2F96B95A" w14:textId="77777777" w:rsidR="00321145" w:rsidRPr="00B563E8" w:rsidRDefault="00321145" w:rsidP="00AA324E">
            <w:pPr>
              <w:pStyle w:val="TableBlockOutdent"/>
              <w:rPr>
                <w:rtl/>
              </w:rPr>
            </w:pPr>
            <w:r w:rsidRPr="00B563E8">
              <w:rPr>
                <w:rtl/>
              </w:rPr>
              <w:t xml:space="preserve">"דיין גיור" – מי שמונה לדיין גיור בבית הדין לגיור לפי סעיף 9; </w:t>
            </w:r>
          </w:p>
        </w:tc>
      </w:tr>
      <w:tr w:rsidR="00321145" w:rsidRPr="00B563E8" w14:paraId="1388174A" w14:textId="77777777" w:rsidTr="00AA324E">
        <w:trPr>
          <w:cantSplit/>
        </w:trPr>
        <w:tc>
          <w:tcPr>
            <w:tcW w:w="1869" w:type="dxa"/>
            <w:shd w:val="clear" w:color="auto" w:fill="auto"/>
            <w:tcMar>
              <w:top w:w="91" w:type="dxa"/>
              <w:left w:w="0" w:type="dxa"/>
              <w:bottom w:w="91" w:type="dxa"/>
              <w:right w:w="0" w:type="dxa"/>
            </w:tcMar>
          </w:tcPr>
          <w:p w14:paraId="05B96B96"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356108A0"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6949F4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EAED5E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45210A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B56E1EB"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6F25ADC3" w14:textId="77777777" w:rsidR="00321145" w:rsidRPr="00B563E8" w:rsidRDefault="00321145" w:rsidP="00AA324E">
            <w:pPr>
              <w:pStyle w:val="TableBlockOutdent"/>
              <w:rPr>
                <w:rtl/>
              </w:rPr>
            </w:pPr>
            <w:r w:rsidRPr="00B563E8">
              <w:rPr>
                <w:rtl/>
              </w:rPr>
              <w:t>"חוק הדיינים" – חוק הדיינים, התשט"ו–1955‏</w:t>
            </w:r>
            <w:r w:rsidRPr="00B563E8">
              <w:rPr>
                <w:rStyle w:val="a6"/>
                <w:rtl/>
              </w:rPr>
              <w:footnoteReference w:id="3"/>
            </w:r>
            <w:r w:rsidRPr="00B563E8">
              <w:rPr>
                <w:rtl/>
              </w:rPr>
              <w:t>;</w:t>
            </w:r>
          </w:p>
        </w:tc>
      </w:tr>
      <w:tr w:rsidR="00321145" w:rsidRPr="00B563E8" w14:paraId="784E9343" w14:textId="77777777" w:rsidTr="00AA324E">
        <w:trPr>
          <w:cantSplit/>
        </w:trPr>
        <w:tc>
          <w:tcPr>
            <w:tcW w:w="1869" w:type="dxa"/>
            <w:shd w:val="clear" w:color="auto" w:fill="auto"/>
            <w:tcMar>
              <w:top w:w="91" w:type="dxa"/>
              <w:left w:w="0" w:type="dxa"/>
              <w:bottom w:w="91" w:type="dxa"/>
              <w:right w:w="0" w:type="dxa"/>
            </w:tcMar>
          </w:tcPr>
          <w:p w14:paraId="66F238B0"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7575AABA"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E2385E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3D4AAC8"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0A8BFE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4D5F315"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3EDB2606" w14:textId="77777777" w:rsidR="00321145" w:rsidRPr="00B563E8" w:rsidRDefault="00321145" w:rsidP="00AA324E">
            <w:pPr>
              <w:pStyle w:val="TableBlockOutdent"/>
              <w:rPr>
                <w:rtl/>
              </w:rPr>
            </w:pPr>
            <w:r w:rsidRPr="00B563E8">
              <w:rPr>
                <w:rtl/>
              </w:rPr>
              <w:t>"חוק הרבנות הראשית לישראל" – חוק הרבנות הראשית לישראל, התש"ם–1980‏</w:t>
            </w:r>
            <w:r w:rsidRPr="00B563E8">
              <w:rPr>
                <w:rStyle w:val="a6"/>
                <w:rtl/>
              </w:rPr>
              <w:footnoteReference w:id="4"/>
            </w:r>
            <w:r w:rsidRPr="00B563E8">
              <w:rPr>
                <w:rtl/>
              </w:rPr>
              <w:t>;</w:t>
            </w:r>
          </w:p>
        </w:tc>
      </w:tr>
      <w:tr w:rsidR="00321145" w:rsidRPr="00B563E8" w14:paraId="3355D704" w14:textId="77777777" w:rsidTr="00AA324E">
        <w:trPr>
          <w:cantSplit/>
        </w:trPr>
        <w:tc>
          <w:tcPr>
            <w:tcW w:w="1869" w:type="dxa"/>
            <w:shd w:val="clear" w:color="auto" w:fill="auto"/>
            <w:tcMar>
              <w:top w:w="91" w:type="dxa"/>
              <w:left w:w="0" w:type="dxa"/>
              <w:bottom w:w="91" w:type="dxa"/>
              <w:right w:w="0" w:type="dxa"/>
            </w:tcMar>
          </w:tcPr>
          <w:p w14:paraId="79745E6F"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057B42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FA6D7F7"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EB8077A"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503DF5C"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09CB8FF"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0771C9C2" w14:textId="77777777" w:rsidR="00321145" w:rsidRPr="00B563E8" w:rsidRDefault="00321145" w:rsidP="00AA324E">
            <w:pPr>
              <w:pStyle w:val="TableBlockOutdent"/>
              <w:rPr>
                <w:rtl/>
              </w:rPr>
            </w:pPr>
            <w:r w:rsidRPr="00B563E8">
              <w:rPr>
                <w:rtl/>
              </w:rPr>
              <w:t xml:space="preserve">"חייל" – כהגדרתו בפסקה (1) להגדרה </w:t>
            </w:r>
            <w:r>
              <w:rPr>
                <w:rFonts w:hint="cs"/>
                <w:rtl/>
              </w:rPr>
              <w:t>"</w:t>
            </w:r>
            <w:r w:rsidRPr="00B563E8">
              <w:rPr>
                <w:rtl/>
              </w:rPr>
              <w:t>חייל</w:t>
            </w:r>
            <w:r>
              <w:rPr>
                <w:rFonts w:hint="cs"/>
                <w:rtl/>
              </w:rPr>
              <w:t>"</w:t>
            </w:r>
            <w:r w:rsidRPr="00B563E8">
              <w:rPr>
                <w:rtl/>
              </w:rPr>
              <w:t xml:space="preserve"> </w:t>
            </w:r>
            <w:r>
              <w:rPr>
                <w:rFonts w:hint="cs"/>
                <w:rtl/>
              </w:rPr>
              <w:t>ב</w:t>
            </w:r>
            <w:r w:rsidRPr="00B563E8">
              <w:rPr>
                <w:rtl/>
              </w:rPr>
              <w:t>חוק השיפוט הצבאי, התשט"ו–1955‏</w:t>
            </w:r>
            <w:r w:rsidRPr="00B563E8">
              <w:rPr>
                <w:rStyle w:val="a6"/>
                <w:rtl/>
              </w:rPr>
              <w:footnoteReference w:id="5"/>
            </w:r>
            <w:r w:rsidRPr="00B563E8">
              <w:rPr>
                <w:rtl/>
              </w:rPr>
              <w:t>;</w:t>
            </w:r>
          </w:p>
        </w:tc>
      </w:tr>
      <w:tr w:rsidR="00321145" w:rsidRPr="00B563E8" w14:paraId="0690BD09" w14:textId="77777777" w:rsidTr="00AA324E">
        <w:trPr>
          <w:cantSplit/>
        </w:trPr>
        <w:tc>
          <w:tcPr>
            <w:tcW w:w="1869" w:type="dxa"/>
            <w:shd w:val="clear" w:color="auto" w:fill="auto"/>
            <w:tcMar>
              <w:top w:w="91" w:type="dxa"/>
              <w:left w:w="0" w:type="dxa"/>
              <w:bottom w:w="91" w:type="dxa"/>
              <w:right w:w="0" w:type="dxa"/>
            </w:tcMar>
          </w:tcPr>
          <w:p w14:paraId="7F268F7D"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55BA2DA"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783432A"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1B45E0C"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F88F09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383936C"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59BB6EA6" w14:textId="77777777" w:rsidR="00321145" w:rsidRPr="00B563E8" w:rsidRDefault="00321145" w:rsidP="00AA324E">
            <w:pPr>
              <w:pStyle w:val="TableBlockOutdent"/>
              <w:rPr>
                <w:rtl/>
              </w:rPr>
            </w:pPr>
            <w:r w:rsidRPr="00B563E8">
              <w:rPr>
                <w:rtl/>
              </w:rPr>
              <w:t xml:space="preserve">"המועצה" – כהגדרתה </w:t>
            </w:r>
            <w:r>
              <w:rPr>
                <w:rFonts w:hint="cs"/>
                <w:rtl/>
              </w:rPr>
              <w:t>ב</w:t>
            </w:r>
            <w:r w:rsidRPr="00B563E8">
              <w:rPr>
                <w:rtl/>
              </w:rPr>
              <w:t>חוק הרבנות הראשית לישראל;</w:t>
            </w:r>
          </w:p>
        </w:tc>
      </w:tr>
      <w:tr w:rsidR="00321145" w:rsidRPr="00B563E8" w14:paraId="02566BD5" w14:textId="77777777" w:rsidTr="00AA324E">
        <w:trPr>
          <w:cantSplit/>
        </w:trPr>
        <w:tc>
          <w:tcPr>
            <w:tcW w:w="1869" w:type="dxa"/>
            <w:shd w:val="clear" w:color="auto" w:fill="auto"/>
            <w:tcMar>
              <w:top w:w="91" w:type="dxa"/>
              <w:left w:w="0" w:type="dxa"/>
              <w:bottom w:w="91" w:type="dxa"/>
              <w:right w:w="0" w:type="dxa"/>
            </w:tcMar>
          </w:tcPr>
          <w:p w14:paraId="79B0B6DE"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B64501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2627747"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686933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3CB910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388B6A2"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7ED31195" w14:textId="77777777" w:rsidR="00321145" w:rsidRPr="00B563E8" w:rsidRDefault="00321145" w:rsidP="00AA324E">
            <w:pPr>
              <w:pStyle w:val="TableBlockOutdent"/>
              <w:rPr>
                <w:rtl/>
              </w:rPr>
            </w:pPr>
            <w:r w:rsidRPr="00B563E8">
              <w:rPr>
                <w:rtl/>
              </w:rPr>
              <w:t>"מערך הגיור" – מערך הגיור שהוקם לפי פרק זה;</w:t>
            </w:r>
          </w:p>
        </w:tc>
      </w:tr>
      <w:tr w:rsidR="00321145" w:rsidRPr="00B563E8" w14:paraId="279B6F2F" w14:textId="77777777" w:rsidTr="00AA324E">
        <w:trPr>
          <w:cantSplit/>
        </w:trPr>
        <w:tc>
          <w:tcPr>
            <w:tcW w:w="1869" w:type="dxa"/>
            <w:shd w:val="clear" w:color="auto" w:fill="auto"/>
            <w:tcMar>
              <w:top w:w="91" w:type="dxa"/>
              <w:left w:w="0" w:type="dxa"/>
              <w:bottom w:w="91" w:type="dxa"/>
              <w:right w:w="0" w:type="dxa"/>
            </w:tcMar>
          </w:tcPr>
          <w:p w14:paraId="487370AB"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FB622F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969571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93E1D7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EFE16FC"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4C47B78"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50C16DBB" w14:textId="77777777" w:rsidR="00321145" w:rsidRPr="00B563E8" w:rsidRDefault="00321145" w:rsidP="00AA324E">
            <w:pPr>
              <w:pStyle w:val="TableBlockOutdent"/>
              <w:rPr>
                <w:rtl/>
              </w:rPr>
            </w:pPr>
            <w:r w:rsidRPr="00B563E8">
              <w:rPr>
                <w:rtl/>
              </w:rPr>
              <w:t>"נתין זר" – מי שאינו אזרח ישראלי או אינו בעל רישיון לישיבת קבע בישראל לפי חוק הכניסה לישראל, התשי"ב–1952‏</w:t>
            </w:r>
            <w:r w:rsidRPr="00B563E8">
              <w:rPr>
                <w:rStyle w:val="a6"/>
                <w:rtl/>
              </w:rPr>
              <w:footnoteReference w:id="6"/>
            </w:r>
            <w:r w:rsidRPr="00B563E8">
              <w:rPr>
                <w:rtl/>
              </w:rPr>
              <w:t>, או מי שלא נמצא זכאי לאשרת עולה או לתעודת עולה לפי חוק השבות, התש"י–1950‏</w:t>
            </w:r>
            <w:r w:rsidRPr="00B563E8">
              <w:rPr>
                <w:rStyle w:val="a6"/>
                <w:rtl/>
              </w:rPr>
              <w:footnoteReference w:id="7"/>
            </w:r>
            <w:r w:rsidRPr="00B563E8">
              <w:rPr>
                <w:rtl/>
              </w:rPr>
              <w:t>;</w:t>
            </w:r>
          </w:p>
        </w:tc>
      </w:tr>
      <w:tr w:rsidR="00321145" w:rsidRPr="00B563E8" w14:paraId="4D1BE2D3" w14:textId="77777777" w:rsidTr="00AA324E">
        <w:trPr>
          <w:cantSplit/>
        </w:trPr>
        <w:tc>
          <w:tcPr>
            <w:tcW w:w="1869" w:type="dxa"/>
            <w:shd w:val="clear" w:color="auto" w:fill="auto"/>
            <w:tcMar>
              <w:top w:w="91" w:type="dxa"/>
              <w:left w:w="0" w:type="dxa"/>
              <w:bottom w:w="91" w:type="dxa"/>
              <w:right w:w="0" w:type="dxa"/>
            </w:tcMar>
          </w:tcPr>
          <w:p w14:paraId="11052629"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D959C5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F9B2D83"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F2DE31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E6EB849"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8A09FCF"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251FB97E" w14:textId="77777777" w:rsidR="00321145" w:rsidRPr="00741DE3" w:rsidRDefault="00321145" w:rsidP="00AA324E">
            <w:pPr>
              <w:pStyle w:val="TableBlockOutdent"/>
              <w:rPr>
                <w:rtl/>
              </w:rPr>
            </w:pPr>
            <w:r w:rsidRPr="00741DE3">
              <w:rPr>
                <w:rFonts w:hint="cs"/>
                <w:rtl/>
              </w:rPr>
              <w:t xml:space="preserve">"ראש ישיבה" </w:t>
            </w:r>
            <w:r w:rsidRPr="00741DE3">
              <w:rPr>
                <w:rtl/>
              </w:rPr>
              <w:t>–</w:t>
            </w:r>
            <w:r w:rsidRPr="00741DE3">
              <w:rPr>
                <w:rFonts w:hint="cs"/>
                <w:rtl/>
              </w:rPr>
              <w:t xml:space="preserve"> </w:t>
            </w:r>
            <w:r>
              <w:rPr>
                <w:rFonts w:hint="cs"/>
                <w:rtl/>
              </w:rPr>
              <w:t xml:space="preserve">ראש </w:t>
            </w:r>
            <w:r w:rsidRPr="00AA55E3">
              <w:rPr>
                <w:rFonts w:hint="cs"/>
                <w:rtl/>
              </w:rPr>
              <w:t>ישיבת הסדר</w:t>
            </w:r>
            <w:r>
              <w:rPr>
                <w:rFonts w:hint="cs"/>
                <w:rtl/>
              </w:rPr>
              <w:t>,</w:t>
            </w:r>
            <w:r w:rsidRPr="00AA55E3">
              <w:rPr>
                <w:rFonts w:hint="cs"/>
                <w:rtl/>
              </w:rPr>
              <w:t xml:space="preserve"> ישיבה גבוהה ציונית</w:t>
            </w:r>
            <w:r>
              <w:rPr>
                <w:rFonts w:hint="cs"/>
                <w:rtl/>
              </w:rPr>
              <w:t xml:space="preserve"> או ישיבה</w:t>
            </w:r>
            <w:r w:rsidRPr="00AA55E3">
              <w:rPr>
                <w:rFonts w:hint="cs"/>
                <w:rtl/>
              </w:rPr>
              <w:t>, כהגדרתן ב</w:t>
            </w:r>
            <w:r>
              <w:rPr>
                <w:rFonts w:hint="cs"/>
                <w:rtl/>
              </w:rPr>
              <w:t>סעיפים 22א, 22ב או 26ב לחוק שירות ב</w:t>
            </w:r>
            <w:r w:rsidRPr="00AA55E3">
              <w:rPr>
                <w:rFonts w:hint="cs"/>
                <w:rtl/>
              </w:rPr>
              <w:t>טחון [נוסח משולב], התשמ"ו</w:t>
            </w:r>
            <w:r w:rsidRPr="00AA55E3">
              <w:rPr>
                <w:rFonts w:hint="eastAsia"/>
                <w:rtl/>
              </w:rPr>
              <w:t>–</w:t>
            </w:r>
            <w:r w:rsidRPr="00AA55E3">
              <w:rPr>
                <w:rFonts w:hint="cs"/>
                <w:rtl/>
              </w:rPr>
              <w:t>1986</w:t>
            </w:r>
            <w:r>
              <w:rPr>
                <w:rStyle w:val="a6"/>
                <w:rtl/>
              </w:rPr>
              <w:footnoteReference w:id="8"/>
            </w:r>
            <w:r>
              <w:rPr>
                <w:rFonts w:hint="cs"/>
                <w:rtl/>
              </w:rPr>
              <w:t>, בהתאמה;</w:t>
            </w:r>
          </w:p>
        </w:tc>
      </w:tr>
      <w:tr w:rsidR="00321145" w:rsidRPr="00B563E8" w14:paraId="29BDB491" w14:textId="77777777" w:rsidTr="00AA324E">
        <w:trPr>
          <w:cantSplit/>
        </w:trPr>
        <w:tc>
          <w:tcPr>
            <w:tcW w:w="1869" w:type="dxa"/>
            <w:shd w:val="clear" w:color="auto" w:fill="auto"/>
            <w:tcMar>
              <w:top w:w="91" w:type="dxa"/>
              <w:left w:w="0" w:type="dxa"/>
              <w:bottom w:w="91" w:type="dxa"/>
              <w:right w:w="0" w:type="dxa"/>
            </w:tcMar>
          </w:tcPr>
          <w:p w14:paraId="41D9A081"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54EF4543"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A40F15B"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8781DFB"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322EBA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DB6DB08"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3AFD7D53" w14:textId="77777777" w:rsidR="00321145" w:rsidRPr="00B563E8" w:rsidRDefault="00321145" w:rsidP="00AA324E">
            <w:pPr>
              <w:pStyle w:val="TableBlockOutdent"/>
              <w:rPr>
                <w:rtl/>
              </w:rPr>
            </w:pPr>
            <w:r w:rsidRPr="00B563E8">
              <w:rPr>
                <w:rtl/>
              </w:rPr>
              <w:t>"רב אזורי" ו"רב יישוב" – כהגדרתם בסעיפים 7(3) ו־(4) לחוק הרבנות הראשית לישראל, בהתאמה;</w:t>
            </w:r>
          </w:p>
        </w:tc>
      </w:tr>
      <w:tr w:rsidR="00321145" w:rsidRPr="00B563E8" w14:paraId="4A1805BC" w14:textId="77777777" w:rsidTr="00AA324E">
        <w:trPr>
          <w:cantSplit/>
        </w:trPr>
        <w:tc>
          <w:tcPr>
            <w:tcW w:w="1869" w:type="dxa"/>
            <w:shd w:val="clear" w:color="auto" w:fill="auto"/>
            <w:tcMar>
              <w:top w:w="91" w:type="dxa"/>
              <w:left w:w="0" w:type="dxa"/>
              <w:bottom w:w="91" w:type="dxa"/>
              <w:right w:w="0" w:type="dxa"/>
            </w:tcMar>
          </w:tcPr>
          <w:p w14:paraId="6DC4E93A"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36344C02"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F54BEF9"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12F0C8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50182F8"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60A46B3"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33471C5E" w14:textId="77777777" w:rsidR="00321145" w:rsidRPr="00B563E8" w:rsidRDefault="00321145" w:rsidP="00AA324E">
            <w:pPr>
              <w:pStyle w:val="TableBlockOutdent"/>
              <w:rPr>
                <w:rtl/>
              </w:rPr>
            </w:pPr>
            <w:r w:rsidRPr="00B563E8">
              <w:rPr>
                <w:rtl/>
              </w:rPr>
              <w:t>"רב מקומי" – רב עיר, רב יישוב ורב אזורי;</w:t>
            </w:r>
          </w:p>
        </w:tc>
      </w:tr>
      <w:tr w:rsidR="00321145" w:rsidRPr="00B563E8" w14:paraId="79003C94" w14:textId="77777777" w:rsidTr="00AA324E">
        <w:trPr>
          <w:cantSplit/>
        </w:trPr>
        <w:tc>
          <w:tcPr>
            <w:tcW w:w="1869" w:type="dxa"/>
            <w:shd w:val="clear" w:color="auto" w:fill="auto"/>
            <w:tcMar>
              <w:top w:w="91" w:type="dxa"/>
              <w:left w:w="0" w:type="dxa"/>
              <w:bottom w:w="91" w:type="dxa"/>
              <w:right w:w="0" w:type="dxa"/>
            </w:tcMar>
          </w:tcPr>
          <w:p w14:paraId="16A0D0FF"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327E75F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8816352"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6CC16A8"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E8E0B03"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A496614"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4CDDEDFF" w14:textId="77777777" w:rsidR="00321145" w:rsidRPr="00B563E8" w:rsidRDefault="00321145" w:rsidP="00AA324E">
            <w:pPr>
              <w:pStyle w:val="TableBlockOutdent"/>
              <w:rPr>
                <w:rtl/>
              </w:rPr>
            </w:pPr>
            <w:r w:rsidRPr="00B563E8">
              <w:rPr>
                <w:rtl/>
              </w:rPr>
              <w:t>"רב עיר" – כהגדרתו בסעיף 15(א)(2) לחוק שירותי הדת היהודיים [נוסח משולב], התשל"א–1971‏</w:t>
            </w:r>
            <w:r w:rsidRPr="00B563E8">
              <w:rPr>
                <w:rStyle w:val="a6"/>
                <w:rtl/>
              </w:rPr>
              <w:footnoteReference w:id="9"/>
            </w:r>
            <w:r w:rsidRPr="00B563E8">
              <w:rPr>
                <w:rtl/>
              </w:rPr>
              <w:t xml:space="preserve"> ;</w:t>
            </w:r>
          </w:p>
        </w:tc>
      </w:tr>
      <w:tr w:rsidR="00321145" w:rsidRPr="00B563E8" w14:paraId="1B2B70C2" w14:textId="77777777" w:rsidTr="00AA324E">
        <w:trPr>
          <w:cantSplit/>
        </w:trPr>
        <w:tc>
          <w:tcPr>
            <w:tcW w:w="1869" w:type="dxa"/>
            <w:shd w:val="clear" w:color="auto" w:fill="auto"/>
            <w:tcMar>
              <w:top w:w="91" w:type="dxa"/>
              <w:left w:w="0" w:type="dxa"/>
              <w:bottom w:w="91" w:type="dxa"/>
              <w:right w:w="0" w:type="dxa"/>
            </w:tcMar>
          </w:tcPr>
          <w:p w14:paraId="1920FE04"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21BDA9DC"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42A1E90"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EE33248"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D0CE84B"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33873EB"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27C3BCB7" w14:textId="77777777" w:rsidR="00321145" w:rsidRPr="00B563E8" w:rsidRDefault="00321145" w:rsidP="00AA324E">
            <w:pPr>
              <w:pStyle w:val="TableBlockOutdent"/>
              <w:rPr>
                <w:rtl/>
              </w:rPr>
            </w:pPr>
            <w:r w:rsidRPr="00B563E8">
              <w:rPr>
                <w:rtl/>
              </w:rPr>
              <w:t>"הרב הראשי לישראל" – אחד מהרבנים הראשיים לישראל לפי חוק הרבנות הראשית לישראל, שנקבע בהחלטת הממשלה;</w:t>
            </w:r>
          </w:p>
        </w:tc>
      </w:tr>
      <w:tr w:rsidR="00321145" w:rsidRPr="00B563E8" w14:paraId="75A333F5" w14:textId="77777777" w:rsidTr="00AA324E">
        <w:trPr>
          <w:cantSplit/>
        </w:trPr>
        <w:tc>
          <w:tcPr>
            <w:tcW w:w="1869" w:type="dxa"/>
            <w:shd w:val="clear" w:color="auto" w:fill="auto"/>
            <w:tcMar>
              <w:top w:w="91" w:type="dxa"/>
              <w:left w:w="0" w:type="dxa"/>
              <w:bottom w:w="91" w:type="dxa"/>
              <w:right w:w="0" w:type="dxa"/>
            </w:tcMar>
          </w:tcPr>
          <w:p w14:paraId="6C917666"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2378228A"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2D1C8CC"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5110A9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9CFD31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4E2E956"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101E4E01" w14:textId="77777777" w:rsidR="00321145" w:rsidRPr="00B563E8" w:rsidRDefault="00321145" w:rsidP="00AA324E">
            <w:pPr>
              <w:pStyle w:val="TableBlock"/>
              <w:rPr>
                <w:rtl/>
              </w:rPr>
            </w:pPr>
            <w:r w:rsidRPr="00B563E8">
              <w:rPr>
                <w:rtl/>
              </w:rPr>
              <w:t>"השר" – השר לשירותי דת.</w:t>
            </w:r>
          </w:p>
        </w:tc>
      </w:tr>
      <w:tr w:rsidR="00321145" w:rsidRPr="00B563E8" w14:paraId="666A841B" w14:textId="77777777" w:rsidTr="00AA324E">
        <w:trPr>
          <w:cantSplit/>
        </w:trPr>
        <w:tc>
          <w:tcPr>
            <w:tcW w:w="1869" w:type="dxa"/>
            <w:shd w:val="clear" w:color="auto" w:fill="auto"/>
            <w:tcMar>
              <w:top w:w="91" w:type="dxa"/>
              <w:left w:w="0" w:type="dxa"/>
              <w:bottom w:w="91" w:type="dxa"/>
              <w:right w:w="0" w:type="dxa"/>
            </w:tcMar>
          </w:tcPr>
          <w:p w14:paraId="110D35AB"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42D097BE"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575A3DD2" w14:textId="77777777" w:rsidR="00321145" w:rsidRPr="00B563E8" w:rsidRDefault="00321145" w:rsidP="00AA324E">
            <w:pPr>
              <w:pStyle w:val="TableInnerSideHeading"/>
              <w:rPr>
                <w:rtl/>
              </w:rPr>
            </w:pPr>
            <w:r w:rsidRPr="00B563E8">
              <w:rPr>
                <w:rtl/>
              </w:rPr>
              <w:t>מערך הגיור</w:t>
            </w:r>
          </w:p>
        </w:tc>
        <w:tc>
          <w:tcPr>
            <w:tcW w:w="624" w:type="dxa"/>
            <w:shd w:val="clear" w:color="auto" w:fill="auto"/>
            <w:tcMar>
              <w:top w:w="91" w:type="dxa"/>
              <w:left w:w="0" w:type="dxa"/>
              <w:bottom w:w="91" w:type="dxa"/>
              <w:right w:w="0" w:type="dxa"/>
            </w:tcMar>
          </w:tcPr>
          <w:p w14:paraId="3C028D69" w14:textId="77777777" w:rsidR="00321145" w:rsidRPr="00B64481" w:rsidRDefault="00321145" w:rsidP="00AA324E">
            <w:pPr>
              <w:pStyle w:val="TableText"/>
              <w:rPr>
                <w:rtl/>
              </w:rPr>
            </w:pPr>
            <w:r w:rsidRPr="00B64481">
              <w:rPr>
                <w:rtl/>
              </w:rPr>
              <w:t>6.</w:t>
            </w:r>
          </w:p>
        </w:tc>
        <w:tc>
          <w:tcPr>
            <w:tcW w:w="4649" w:type="dxa"/>
            <w:gridSpan w:val="3"/>
            <w:shd w:val="clear" w:color="auto" w:fill="auto"/>
            <w:tcMar>
              <w:top w:w="91" w:type="dxa"/>
              <w:left w:w="0" w:type="dxa"/>
              <w:bottom w:w="91" w:type="dxa"/>
              <w:right w:w="0" w:type="dxa"/>
            </w:tcMar>
          </w:tcPr>
          <w:p w14:paraId="48F7D31B" w14:textId="77777777" w:rsidR="00321145" w:rsidRPr="00B563E8" w:rsidRDefault="00321145" w:rsidP="00AA324E">
            <w:pPr>
              <w:pStyle w:val="TableBlock"/>
              <w:rPr>
                <w:rtl/>
              </w:rPr>
            </w:pPr>
            <w:r w:rsidRPr="00B563E8">
              <w:rPr>
                <w:rtl/>
              </w:rPr>
              <w:t>(א)</w:t>
            </w:r>
            <w:r w:rsidRPr="00B563E8">
              <w:rPr>
                <w:rtl/>
              </w:rPr>
              <w:tab/>
              <w:t>השר יקים במשרד לשירותי דת מערך גיור, ובראשו יעמוד ראש מערך הגיור.</w:t>
            </w:r>
          </w:p>
        </w:tc>
      </w:tr>
      <w:tr w:rsidR="00321145" w:rsidRPr="00B563E8" w14:paraId="7155827A" w14:textId="77777777" w:rsidTr="00AA324E">
        <w:trPr>
          <w:cantSplit/>
        </w:trPr>
        <w:tc>
          <w:tcPr>
            <w:tcW w:w="1869" w:type="dxa"/>
            <w:shd w:val="clear" w:color="auto" w:fill="auto"/>
            <w:tcMar>
              <w:top w:w="91" w:type="dxa"/>
              <w:left w:w="0" w:type="dxa"/>
              <w:bottom w:w="91" w:type="dxa"/>
              <w:right w:w="0" w:type="dxa"/>
            </w:tcMar>
          </w:tcPr>
          <w:p w14:paraId="1F5ADCB9"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7BD261AC"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0F9F3BA"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008044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E9A0717"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60EE6A2"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24B29046" w14:textId="77777777" w:rsidR="00321145" w:rsidRPr="00B563E8" w:rsidRDefault="00321145" w:rsidP="00AA324E">
            <w:pPr>
              <w:pStyle w:val="TableBlock"/>
              <w:rPr>
                <w:rtl/>
              </w:rPr>
            </w:pPr>
            <w:r w:rsidRPr="00B563E8">
              <w:rPr>
                <w:rtl/>
              </w:rPr>
              <w:t>(ב)</w:t>
            </w:r>
            <w:r w:rsidRPr="00B563E8">
              <w:rPr>
                <w:rtl/>
              </w:rPr>
              <w:tab/>
              <w:t>תפקידי מערך הגיור יהיו, בין השאר –</w:t>
            </w:r>
          </w:p>
        </w:tc>
      </w:tr>
      <w:tr w:rsidR="00321145" w:rsidRPr="00B563E8" w14:paraId="608C3904" w14:textId="77777777" w:rsidTr="00AA324E">
        <w:trPr>
          <w:cantSplit/>
        </w:trPr>
        <w:tc>
          <w:tcPr>
            <w:tcW w:w="1869" w:type="dxa"/>
            <w:shd w:val="clear" w:color="auto" w:fill="auto"/>
            <w:tcMar>
              <w:top w:w="91" w:type="dxa"/>
              <w:left w:w="0" w:type="dxa"/>
              <w:bottom w:w="91" w:type="dxa"/>
              <w:right w:w="0" w:type="dxa"/>
            </w:tcMar>
          </w:tcPr>
          <w:p w14:paraId="787B733C"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3300BAC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E0B745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87AD89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BD4E2E9"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11209B8"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1C0BA21A"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05567326" w14:textId="77777777" w:rsidR="00321145" w:rsidRPr="00B563E8" w:rsidRDefault="00321145" w:rsidP="00AA324E">
            <w:pPr>
              <w:pStyle w:val="TableBlock"/>
              <w:rPr>
                <w:rtl/>
              </w:rPr>
            </w:pPr>
            <w:r w:rsidRPr="00B563E8">
              <w:rPr>
                <w:rtl/>
              </w:rPr>
              <w:t>(1)</w:t>
            </w:r>
            <w:r w:rsidRPr="00B563E8">
              <w:rPr>
                <w:rtl/>
              </w:rPr>
              <w:tab/>
              <w:t xml:space="preserve">אחריות </w:t>
            </w:r>
            <w:r>
              <w:rPr>
                <w:rFonts w:hint="cs"/>
                <w:rtl/>
              </w:rPr>
              <w:t xml:space="preserve">מינהלית </w:t>
            </w:r>
            <w:r w:rsidRPr="00B563E8">
              <w:rPr>
                <w:rtl/>
              </w:rPr>
              <w:t>לבתי הדין לגיור;</w:t>
            </w:r>
          </w:p>
        </w:tc>
      </w:tr>
      <w:tr w:rsidR="00321145" w:rsidRPr="00B563E8" w14:paraId="7CFD3CCE" w14:textId="77777777" w:rsidTr="00AA324E">
        <w:trPr>
          <w:cantSplit/>
        </w:trPr>
        <w:tc>
          <w:tcPr>
            <w:tcW w:w="1869" w:type="dxa"/>
            <w:shd w:val="clear" w:color="auto" w:fill="auto"/>
            <w:tcMar>
              <w:top w:w="91" w:type="dxa"/>
              <w:left w:w="0" w:type="dxa"/>
              <w:bottom w:w="91" w:type="dxa"/>
              <w:right w:w="0" w:type="dxa"/>
            </w:tcMar>
          </w:tcPr>
          <w:p w14:paraId="7E7441D7"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4D0ECAD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B879B8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C67521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2C4ABA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DF9C5BD"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1223B39D"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7EAE3A3D" w14:textId="77777777" w:rsidR="00321145" w:rsidRPr="00B563E8" w:rsidRDefault="00321145" w:rsidP="00AA324E">
            <w:pPr>
              <w:pStyle w:val="TableBlock"/>
              <w:rPr>
                <w:rtl/>
              </w:rPr>
            </w:pPr>
            <w:r w:rsidRPr="00B563E8">
              <w:rPr>
                <w:rtl/>
              </w:rPr>
              <w:t>(2)</w:t>
            </w:r>
            <w:r w:rsidRPr="00B563E8">
              <w:rPr>
                <w:rtl/>
              </w:rPr>
              <w:tab/>
              <w:t xml:space="preserve">אחריות </w:t>
            </w:r>
            <w:r>
              <w:rPr>
                <w:rFonts w:hint="cs"/>
                <w:rtl/>
              </w:rPr>
              <w:t xml:space="preserve">מינהלית </w:t>
            </w:r>
            <w:r w:rsidRPr="00B563E8">
              <w:rPr>
                <w:rtl/>
              </w:rPr>
              <w:t xml:space="preserve">לתהליך ההכנה והלימוד לקראת גיור; </w:t>
            </w:r>
          </w:p>
        </w:tc>
      </w:tr>
      <w:tr w:rsidR="00321145" w:rsidRPr="00B563E8" w14:paraId="3C51C595" w14:textId="77777777" w:rsidTr="00AA324E">
        <w:trPr>
          <w:cantSplit/>
        </w:trPr>
        <w:tc>
          <w:tcPr>
            <w:tcW w:w="1869" w:type="dxa"/>
            <w:shd w:val="clear" w:color="auto" w:fill="auto"/>
            <w:tcMar>
              <w:top w:w="91" w:type="dxa"/>
              <w:left w:w="0" w:type="dxa"/>
              <w:bottom w:w="91" w:type="dxa"/>
              <w:right w:w="0" w:type="dxa"/>
            </w:tcMar>
          </w:tcPr>
          <w:p w14:paraId="1A12946A"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55D4576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E2B2E9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9A82F73"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43136A0"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F098EE4"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4CBB708F"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4DD9EC79" w14:textId="77777777" w:rsidR="00321145" w:rsidRPr="00B563E8" w:rsidRDefault="00321145" w:rsidP="00AA324E">
            <w:pPr>
              <w:pStyle w:val="TableBlock"/>
              <w:rPr>
                <w:rtl/>
              </w:rPr>
            </w:pPr>
            <w:r w:rsidRPr="00B563E8">
              <w:rPr>
                <w:rtl/>
              </w:rPr>
              <w:t>(3)</w:t>
            </w:r>
            <w:r w:rsidRPr="00B563E8">
              <w:rPr>
                <w:rtl/>
              </w:rPr>
              <w:tab/>
              <w:t>הסברה בתחום הגיור, לרבות מתן מידע וטיפול בפניות ציבור;</w:t>
            </w:r>
          </w:p>
        </w:tc>
      </w:tr>
      <w:tr w:rsidR="00321145" w:rsidRPr="00B563E8" w14:paraId="56590710" w14:textId="77777777" w:rsidTr="00AA324E">
        <w:trPr>
          <w:cantSplit/>
        </w:trPr>
        <w:tc>
          <w:tcPr>
            <w:tcW w:w="1869" w:type="dxa"/>
            <w:shd w:val="clear" w:color="auto" w:fill="auto"/>
            <w:tcMar>
              <w:top w:w="91" w:type="dxa"/>
              <w:left w:w="0" w:type="dxa"/>
              <w:bottom w:w="91" w:type="dxa"/>
              <w:right w:w="0" w:type="dxa"/>
            </w:tcMar>
          </w:tcPr>
          <w:p w14:paraId="2815C6FD"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667F93E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75AD7E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3193C2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A2503A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909D796"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09A095FF"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70A71EE4" w14:textId="77777777" w:rsidR="00321145" w:rsidRPr="00B563E8" w:rsidRDefault="00321145" w:rsidP="00AA324E">
            <w:pPr>
              <w:pStyle w:val="TableBlock"/>
              <w:rPr>
                <w:rtl/>
              </w:rPr>
            </w:pPr>
            <w:r w:rsidRPr="00B563E8">
              <w:rPr>
                <w:rtl/>
              </w:rPr>
              <w:t>(4)</w:t>
            </w:r>
            <w:r w:rsidRPr="00B563E8">
              <w:rPr>
                <w:rtl/>
              </w:rPr>
              <w:tab/>
              <w:t xml:space="preserve">פיקוח </w:t>
            </w:r>
            <w:r>
              <w:rPr>
                <w:rFonts w:hint="cs"/>
                <w:rtl/>
              </w:rPr>
              <w:t xml:space="preserve">מינהלי </w:t>
            </w:r>
            <w:r w:rsidRPr="00B563E8">
              <w:rPr>
                <w:rtl/>
              </w:rPr>
              <w:t>על הליך הגיור בצבא הגנה</w:t>
            </w:r>
            <w:r>
              <w:rPr>
                <w:rFonts w:hint="cs"/>
                <w:rtl/>
              </w:rPr>
              <w:t xml:space="preserve"> </w:t>
            </w:r>
            <w:r w:rsidRPr="00B563E8">
              <w:rPr>
                <w:rtl/>
              </w:rPr>
              <w:t>לישראל;</w:t>
            </w:r>
          </w:p>
        </w:tc>
      </w:tr>
      <w:tr w:rsidR="00321145" w:rsidRPr="00B563E8" w14:paraId="5AFF38DA" w14:textId="77777777" w:rsidTr="00AA324E">
        <w:trPr>
          <w:cantSplit/>
        </w:trPr>
        <w:tc>
          <w:tcPr>
            <w:tcW w:w="1869" w:type="dxa"/>
            <w:shd w:val="clear" w:color="auto" w:fill="auto"/>
            <w:tcMar>
              <w:top w:w="91" w:type="dxa"/>
              <w:left w:w="0" w:type="dxa"/>
              <w:bottom w:w="91" w:type="dxa"/>
              <w:right w:w="0" w:type="dxa"/>
            </w:tcMar>
          </w:tcPr>
          <w:p w14:paraId="3070E2EE"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75BE906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AB7F992"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EEE2AA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1E66577"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ECF4D30"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31D104CD"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3AB2088F" w14:textId="77777777" w:rsidR="00321145" w:rsidRPr="00B563E8" w:rsidRDefault="00321145" w:rsidP="00AA324E">
            <w:pPr>
              <w:pStyle w:val="TableBlock"/>
              <w:rPr>
                <w:rtl/>
              </w:rPr>
            </w:pPr>
            <w:r w:rsidRPr="00B563E8">
              <w:rPr>
                <w:rtl/>
              </w:rPr>
              <w:t>(5)</w:t>
            </w:r>
            <w:r w:rsidRPr="00B563E8">
              <w:rPr>
                <w:rtl/>
              </w:rPr>
              <w:tab/>
              <w:t>הסדרת שירותי מילה וטבילה;</w:t>
            </w:r>
          </w:p>
        </w:tc>
      </w:tr>
      <w:tr w:rsidR="00321145" w:rsidRPr="00B563E8" w14:paraId="75522700" w14:textId="77777777" w:rsidTr="00AA324E">
        <w:trPr>
          <w:cantSplit/>
        </w:trPr>
        <w:tc>
          <w:tcPr>
            <w:tcW w:w="1869" w:type="dxa"/>
            <w:shd w:val="clear" w:color="auto" w:fill="auto"/>
            <w:tcMar>
              <w:top w:w="91" w:type="dxa"/>
              <w:left w:w="0" w:type="dxa"/>
              <w:bottom w:w="91" w:type="dxa"/>
              <w:right w:w="0" w:type="dxa"/>
            </w:tcMar>
          </w:tcPr>
          <w:p w14:paraId="0C34FA69"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6777413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50EE31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72A644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0552AB2"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E53A5A9"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4A072AAC"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0FFCEE64" w14:textId="77777777" w:rsidR="00321145" w:rsidRPr="00B563E8" w:rsidRDefault="00321145" w:rsidP="00AA324E">
            <w:pPr>
              <w:pStyle w:val="TableBlock"/>
              <w:rPr>
                <w:rtl/>
              </w:rPr>
            </w:pPr>
            <w:r w:rsidRPr="00B563E8">
              <w:rPr>
                <w:rtl/>
              </w:rPr>
              <w:t>(6)</w:t>
            </w:r>
            <w:r w:rsidRPr="00B563E8">
              <w:rPr>
                <w:rtl/>
              </w:rPr>
              <w:tab/>
              <w:t xml:space="preserve">רישום לנישואין של מתגיירים המבקשים להירשם במערך הגיור; </w:t>
            </w:r>
          </w:p>
        </w:tc>
      </w:tr>
      <w:tr w:rsidR="00321145" w:rsidRPr="00B563E8" w14:paraId="64FADBBD" w14:textId="77777777" w:rsidTr="00AA324E">
        <w:trPr>
          <w:cantSplit/>
        </w:trPr>
        <w:tc>
          <w:tcPr>
            <w:tcW w:w="1869" w:type="dxa"/>
            <w:shd w:val="clear" w:color="auto" w:fill="auto"/>
            <w:tcMar>
              <w:top w:w="91" w:type="dxa"/>
              <w:left w:w="0" w:type="dxa"/>
              <w:bottom w:w="91" w:type="dxa"/>
              <w:right w:w="0" w:type="dxa"/>
            </w:tcMar>
          </w:tcPr>
          <w:p w14:paraId="6BAF1F70"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3855F00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3E5ABA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CF8376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973758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D701AC6"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00C00543"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61967B08" w14:textId="77777777" w:rsidR="00321145" w:rsidRPr="0004516F" w:rsidRDefault="00321145" w:rsidP="00AA324E">
            <w:pPr>
              <w:pStyle w:val="TableBlock"/>
              <w:rPr>
                <w:spacing w:val="-4"/>
                <w:rtl/>
              </w:rPr>
            </w:pPr>
            <w:r w:rsidRPr="0004516F">
              <w:rPr>
                <w:spacing w:val="-4"/>
                <w:rtl/>
              </w:rPr>
              <w:t>(7)</w:t>
            </w:r>
            <w:r w:rsidRPr="0004516F">
              <w:rPr>
                <w:spacing w:val="-4"/>
                <w:rtl/>
              </w:rPr>
              <w:tab/>
              <w:t>טיפול בהנפקת תעודה לפי סעיף 2(2)</w:t>
            </w:r>
            <w:r w:rsidRPr="0004516F">
              <w:rPr>
                <w:rFonts w:hint="cs"/>
                <w:spacing w:val="-4"/>
                <w:rtl/>
              </w:rPr>
              <w:t>;</w:t>
            </w:r>
          </w:p>
        </w:tc>
      </w:tr>
      <w:tr w:rsidR="00321145" w:rsidRPr="00B563E8" w14:paraId="229DCF02" w14:textId="77777777" w:rsidTr="00AA324E">
        <w:trPr>
          <w:cantSplit/>
        </w:trPr>
        <w:tc>
          <w:tcPr>
            <w:tcW w:w="1869" w:type="dxa"/>
            <w:shd w:val="clear" w:color="auto" w:fill="auto"/>
            <w:tcMar>
              <w:top w:w="91" w:type="dxa"/>
              <w:left w:w="0" w:type="dxa"/>
              <w:bottom w:w="91" w:type="dxa"/>
              <w:right w:w="0" w:type="dxa"/>
            </w:tcMar>
          </w:tcPr>
          <w:p w14:paraId="06CCD44E"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7AF9645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C8C2E2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8D49837"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EE0595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FD00C8A"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3B7DCADF"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63DCA474" w14:textId="77777777" w:rsidR="00321145" w:rsidRPr="00B563E8" w:rsidRDefault="00321145" w:rsidP="00AA324E">
            <w:pPr>
              <w:pStyle w:val="TableBlock"/>
              <w:rPr>
                <w:rtl/>
              </w:rPr>
            </w:pPr>
            <w:r>
              <w:rPr>
                <w:rFonts w:hint="cs"/>
                <w:rtl/>
              </w:rPr>
              <w:t>(8)</w:t>
            </w:r>
            <w:r>
              <w:rPr>
                <w:rtl/>
              </w:rPr>
              <w:tab/>
            </w:r>
            <w:r>
              <w:rPr>
                <w:rFonts w:hint="cs"/>
                <w:rtl/>
              </w:rPr>
              <w:t>טיפול שוטף בפניות מתגיירים ותיקיהם;</w:t>
            </w:r>
          </w:p>
        </w:tc>
      </w:tr>
      <w:tr w:rsidR="00321145" w:rsidRPr="00B563E8" w14:paraId="0DEFCAF7" w14:textId="77777777" w:rsidTr="00AA324E">
        <w:trPr>
          <w:cantSplit/>
        </w:trPr>
        <w:tc>
          <w:tcPr>
            <w:tcW w:w="1869" w:type="dxa"/>
            <w:shd w:val="clear" w:color="auto" w:fill="auto"/>
            <w:tcMar>
              <w:top w:w="91" w:type="dxa"/>
              <w:left w:w="0" w:type="dxa"/>
              <w:bottom w:w="91" w:type="dxa"/>
              <w:right w:w="0" w:type="dxa"/>
            </w:tcMar>
          </w:tcPr>
          <w:p w14:paraId="1B1B438A"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7FFAC75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2BF50D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08E27E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89D4E77"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5D7EFA5"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48113A33"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57F28547" w14:textId="77777777" w:rsidR="00321145" w:rsidRDefault="00321145" w:rsidP="00AA324E">
            <w:pPr>
              <w:pStyle w:val="TableBlock"/>
              <w:rPr>
                <w:rtl/>
              </w:rPr>
            </w:pPr>
            <w:r>
              <w:rPr>
                <w:rFonts w:hint="cs"/>
                <w:rtl/>
              </w:rPr>
              <w:t>(9)</w:t>
            </w:r>
            <w:r>
              <w:rPr>
                <w:rtl/>
              </w:rPr>
              <w:tab/>
            </w:r>
            <w:r>
              <w:rPr>
                <w:rFonts w:hint="cs"/>
                <w:rtl/>
              </w:rPr>
              <w:t>גביית אגרות;</w:t>
            </w:r>
          </w:p>
        </w:tc>
      </w:tr>
      <w:tr w:rsidR="00321145" w:rsidRPr="00B563E8" w14:paraId="6E4A467B" w14:textId="77777777" w:rsidTr="00AA324E">
        <w:trPr>
          <w:cantSplit/>
        </w:trPr>
        <w:tc>
          <w:tcPr>
            <w:tcW w:w="1869" w:type="dxa"/>
            <w:shd w:val="clear" w:color="auto" w:fill="auto"/>
            <w:tcMar>
              <w:top w:w="91" w:type="dxa"/>
              <w:left w:w="0" w:type="dxa"/>
              <w:bottom w:w="91" w:type="dxa"/>
              <w:right w:w="0" w:type="dxa"/>
            </w:tcMar>
          </w:tcPr>
          <w:p w14:paraId="434A14DC"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C0F1F6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B357AD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DB5F5E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8A66A9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3530E7F"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64600576"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52BE6C36" w14:textId="77777777" w:rsidR="00321145" w:rsidRDefault="00321145" w:rsidP="00AA324E">
            <w:pPr>
              <w:pStyle w:val="TableBlock"/>
              <w:rPr>
                <w:rtl/>
              </w:rPr>
            </w:pPr>
            <w:r>
              <w:rPr>
                <w:rFonts w:hint="cs"/>
                <w:rtl/>
              </w:rPr>
              <w:t>(10)</w:t>
            </w:r>
            <w:r>
              <w:rPr>
                <w:rtl/>
              </w:rPr>
              <w:tab/>
            </w:r>
            <w:r>
              <w:rPr>
                <w:rFonts w:hint="cs"/>
                <w:rtl/>
              </w:rPr>
              <w:t>כל שירות אחר הנדרש למתגיירים לשם גיורם.</w:t>
            </w:r>
          </w:p>
        </w:tc>
      </w:tr>
      <w:tr w:rsidR="00321145" w:rsidRPr="00B563E8" w14:paraId="24DC3C43" w14:textId="77777777" w:rsidTr="00AA324E">
        <w:trPr>
          <w:cantSplit/>
        </w:trPr>
        <w:tc>
          <w:tcPr>
            <w:tcW w:w="1869" w:type="dxa"/>
            <w:shd w:val="clear" w:color="auto" w:fill="auto"/>
            <w:tcMar>
              <w:top w:w="91" w:type="dxa"/>
              <w:left w:w="0" w:type="dxa"/>
              <w:bottom w:w="91" w:type="dxa"/>
              <w:right w:w="0" w:type="dxa"/>
            </w:tcMar>
          </w:tcPr>
          <w:p w14:paraId="327EC7FB"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44CAC638"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32232A9C" w14:textId="77777777" w:rsidR="00321145" w:rsidRPr="00B563E8" w:rsidRDefault="00321145" w:rsidP="00AA324E">
            <w:pPr>
              <w:pStyle w:val="TableText"/>
              <w:rPr>
                <w:rtl/>
              </w:rPr>
            </w:pPr>
            <w:r w:rsidRPr="00B563E8">
              <w:rPr>
                <w:rtl/>
              </w:rPr>
              <w:t>ראש מערך הגיור</w:t>
            </w:r>
          </w:p>
        </w:tc>
        <w:tc>
          <w:tcPr>
            <w:tcW w:w="624" w:type="dxa"/>
            <w:shd w:val="clear" w:color="auto" w:fill="auto"/>
            <w:tcMar>
              <w:top w:w="91" w:type="dxa"/>
              <w:left w:w="0" w:type="dxa"/>
              <w:bottom w:w="91" w:type="dxa"/>
              <w:right w:w="0" w:type="dxa"/>
            </w:tcMar>
          </w:tcPr>
          <w:p w14:paraId="0A267B77" w14:textId="77777777" w:rsidR="00321145" w:rsidRPr="00B64481" w:rsidRDefault="00321145" w:rsidP="00AA324E">
            <w:pPr>
              <w:pStyle w:val="TableText"/>
              <w:rPr>
                <w:rtl/>
              </w:rPr>
            </w:pPr>
            <w:r w:rsidRPr="00B64481">
              <w:rPr>
                <w:rtl/>
              </w:rPr>
              <w:t>7.</w:t>
            </w:r>
          </w:p>
        </w:tc>
        <w:tc>
          <w:tcPr>
            <w:tcW w:w="4649" w:type="dxa"/>
            <w:gridSpan w:val="3"/>
            <w:shd w:val="clear" w:color="auto" w:fill="auto"/>
            <w:tcMar>
              <w:top w:w="91" w:type="dxa"/>
              <w:left w:w="0" w:type="dxa"/>
              <w:bottom w:w="91" w:type="dxa"/>
              <w:right w:w="0" w:type="dxa"/>
            </w:tcMar>
          </w:tcPr>
          <w:p w14:paraId="015B4114" w14:textId="2513B8C7" w:rsidR="00321145" w:rsidRPr="00B563E8" w:rsidRDefault="00321145" w:rsidP="00376397">
            <w:pPr>
              <w:pStyle w:val="TableBlock"/>
              <w:rPr>
                <w:rtl/>
              </w:rPr>
            </w:pPr>
            <w:r w:rsidRPr="00B563E8">
              <w:rPr>
                <w:rtl/>
              </w:rPr>
              <w:t>(</w:t>
            </w:r>
            <w:r>
              <w:rPr>
                <w:rFonts w:hint="cs"/>
                <w:rtl/>
              </w:rPr>
              <w:t>א</w:t>
            </w:r>
            <w:r w:rsidRPr="00B563E8">
              <w:rPr>
                <w:rtl/>
              </w:rPr>
              <w:t>)</w:t>
            </w:r>
            <w:r w:rsidRPr="00B563E8">
              <w:rPr>
                <w:rtl/>
              </w:rPr>
              <w:tab/>
              <w:t>ראש מערך הגיור יתמנה בידי הממשלה בהתאם להוראות סעיף 23 לחוק שירות המדינה (מינויים), התשי"ט–</w:t>
            </w:r>
            <w:r w:rsidRPr="00AE6195">
              <w:rPr>
                <w:rtl/>
              </w:rPr>
              <w:t>1959</w:t>
            </w:r>
            <w:r w:rsidRPr="00AE6195">
              <w:rPr>
                <w:rStyle w:val="a6"/>
                <w:rtl/>
              </w:rPr>
              <w:footnoteReference w:id="10"/>
            </w:r>
            <w:r w:rsidRPr="00AE6195">
              <w:rPr>
                <w:rtl/>
              </w:rPr>
              <w:t>,</w:t>
            </w:r>
            <w:r w:rsidRPr="00B563E8">
              <w:rPr>
                <w:rtl/>
              </w:rPr>
              <w:t xml:space="preserve"> לפי המלצת ועדה לאיתור ראש מערך הגיור</w:t>
            </w:r>
            <w:r>
              <w:rPr>
                <w:rFonts w:hint="cs"/>
                <w:rtl/>
              </w:rPr>
              <w:t>; בהרכב ועדת האיתור יינתן ייצוג הולם לבני שני המינים</w:t>
            </w:r>
            <w:r w:rsidRPr="00B563E8">
              <w:rPr>
                <w:rtl/>
              </w:rPr>
              <w:t>.</w:t>
            </w:r>
          </w:p>
        </w:tc>
      </w:tr>
      <w:tr w:rsidR="00321145" w:rsidRPr="00B563E8" w14:paraId="0E7F473D" w14:textId="77777777" w:rsidTr="00AA324E">
        <w:trPr>
          <w:cantSplit/>
        </w:trPr>
        <w:tc>
          <w:tcPr>
            <w:tcW w:w="1869" w:type="dxa"/>
            <w:shd w:val="clear" w:color="auto" w:fill="auto"/>
            <w:tcMar>
              <w:top w:w="91" w:type="dxa"/>
              <w:left w:w="0" w:type="dxa"/>
              <w:bottom w:w="91" w:type="dxa"/>
              <w:right w:w="0" w:type="dxa"/>
            </w:tcMar>
          </w:tcPr>
          <w:p w14:paraId="30009F53"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22ECEEFC"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69901B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6E49D17"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B6B7377"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4397C97"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7C6D771B" w14:textId="77777777" w:rsidR="00321145" w:rsidRPr="00B563E8" w:rsidRDefault="00321145" w:rsidP="00AA324E">
            <w:pPr>
              <w:pStyle w:val="TableBlock"/>
              <w:rPr>
                <w:rtl/>
              </w:rPr>
            </w:pPr>
            <w:r w:rsidRPr="00B563E8">
              <w:rPr>
                <w:rtl/>
              </w:rPr>
              <w:t>(</w:t>
            </w:r>
            <w:r>
              <w:rPr>
                <w:rFonts w:hint="cs"/>
                <w:rtl/>
              </w:rPr>
              <w:t>ב</w:t>
            </w:r>
            <w:r w:rsidRPr="00B563E8">
              <w:rPr>
                <w:rtl/>
              </w:rPr>
              <w:t>)</w:t>
            </w:r>
            <w:r w:rsidRPr="00B563E8">
              <w:rPr>
                <w:rtl/>
              </w:rPr>
              <w:tab/>
            </w:r>
            <w:r>
              <w:rPr>
                <w:rFonts w:hint="cs"/>
                <w:rtl/>
              </w:rPr>
              <w:t>ראש מערך הגיור יפעל לביצוע תפקידי מערך הגיור</w:t>
            </w:r>
            <w:r w:rsidRPr="00B563E8">
              <w:rPr>
                <w:rtl/>
              </w:rPr>
              <w:t>.</w:t>
            </w:r>
          </w:p>
        </w:tc>
      </w:tr>
      <w:tr w:rsidR="00321145" w:rsidRPr="00B563E8" w14:paraId="4A8D2DE4" w14:textId="77777777" w:rsidTr="00AA324E">
        <w:trPr>
          <w:cantSplit/>
        </w:trPr>
        <w:tc>
          <w:tcPr>
            <w:tcW w:w="1869" w:type="dxa"/>
            <w:shd w:val="clear" w:color="auto" w:fill="auto"/>
            <w:tcMar>
              <w:top w:w="91" w:type="dxa"/>
              <w:left w:w="0" w:type="dxa"/>
              <w:bottom w:w="91" w:type="dxa"/>
              <w:right w:w="0" w:type="dxa"/>
            </w:tcMar>
          </w:tcPr>
          <w:p w14:paraId="43DCAF86"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44682A6"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200EBB0D" w14:textId="77777777" w:rsidR="00321145" w:rsidRPr="00B563E8" w:rsidRDefault="00321145" w:rsidP="00AA324E">
            <w:pPr>
              <w:pStyle w:val="TableInnerSideHeading"/>
              <w:rPr>
                <w:rtl/>
              </w:rPr>
            </w:pPr>
            <w:r w:rsidRPr="00B563E8">
              <w:rPr>
                <w:rtl/>
              </w:rPr>
              <w:t>כשירות דיין גיור</w:t>
            </w:r>
          </w:p>
        </w:tc>
        <w:tc>
          <w:tcPr>
            <w:tcW w:w="624" w:type="dxa"/>
            <w:shd w:val="clear" w:color="auto" w:fill="auto"/>
            <w:tcMar>
              <w:top w:w="91" w:type="dxa"/>
              <w:left w:w="0" w:type="dxa"/>
              <w:bottom w:w="91" w:type="dxa"/>
              <w:right w:w="0" w:type="dxa"/>
            </w:tcMar>
          </w:tcPr>
          <w:p w14:paraId="702AA3A8" w14:textId="77777777" w:rsidR="00321145" w:rsidRPr="00B64481" w:rsidRDefault="00321145" w:rsidP="00AA324E">
            <w:pPr>
              <w:pStyle w:val="TableText"/>
              <w:rPr>
                <w:rtl/>
              </w:rPr>
            </w:pPr>
            <w:r w:rsidRPr="00B64481">
              <w:rPr>
                <w:rtl/>
              </w:rPr>
              <w:t>8.</w:t>
            </w:r>
          </w:p>
        </w:tc>
        <w:tc>
          <w:tcPr>
            <w:tcW w:w="4649" w:type="dxa"/>
            <w:gridSpan w:val="3"/>
            <w:shd w:val="clear" w:color="auto" w:fill="auto"/>
            <w:tcMar>
              <w:top w:w="91" w:type="dxa"/>
              <w:left w:w="0" w:type="dxa"/>
              <w:bottom w:w="91" w:type="dxa"/>
              <w:right w:w="0" w:type="dxa"/>
            </w:tcMar>
          </w:tcPr>
          <w:p w14:paraId="2ED55E3E" w14:textId="77777777" w:rsidR="00321145" w:rsidRPr="00B563E8" w:rsidRDefault="00321145" w:rsidP="00AA324E">
            <w:pPr>
              <w:pStyle w:val="TableBlock"/>
              <w:rPr>
                <w:rtl/>
              </w:rPr>
            </w:pPr>
            <w:r w:rsidRPr="00B563E8">
              <w:rPr>
                <w:rtl/>
              </w:rPr>
              <w:t>(א)</w:t>
            </w:r>
            <w:r w:rsidRPr="00B563E8">
              <w:rPr>
                <w:rtl/>
              </w:rPr>
              <w:tab/>
              <w:t>כשיר להתמנות לדיין גיור מי שהוא אחד מאלה:</w:t>
            </w:r>
          </w:p>
        </w:tc>
      </w:tr>
      <w:tr w:rsidR="00321145" w:rsidRPr="00B563E8" w14:paraId="725F2ECC" w14:textId="77777777" w:rsidTr="00AA324E">
        <w:trPr>
          <w:cantSplit/>
        </w:trPr>
        <w:tc>
          <w:tcPr>
            <w:tcW w:w="1869" w:type="dxa"/>
            <w:shd w:val="clear" w:color="auto" w:fill="auto"/>
            <w:tcMar>
              <w:top w:w="91" w:type="dxa"/>
              <w:left w:w="0" w:type="dxa"/>
              <w:bottom w:w="91" w:type="dxa"/>
              <w:right w:w="0" w:type="dxa"/>
            </w:tcMar>
          </w:tcPr>
          <w:p w14:paraId="2526549A"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4A886A7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E684A5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1F9BF68"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530C8BB"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B918081"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27FBB526"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7E6135F0" w14:textId="77777777" w:rsidR="00321145" w:rsidRPr="00B563E8" w:rsidRDefault="00321145" w:rsidP="00AA324E">
            <w:pPr>
              <w:pStyle w:val="TableBlock"/>
              <w:rPr>
                <w:rtl/>
              </w:rPr>
            </w:pPr>
            <w:r w:rsidRPr="00B563E8">
              <w:rPr>
                <w:rtl/>
              </w:rPr>
              <w:t>(1)</w:t>
            </w:r>
            <w:r w:rsidRPr="00B563E8">
              <w:rPr>
                <w:rtl/>
              </w:rPr>
              <w:tab/>
              <w:t>אדם הכשיר להתמנות לדיין לפי חוק הדיינים;</w:t>
            </w:r>
          </w:p>
        </w:tc>
      </w:tr>
      <w:tr w:rsidR="00321145" w:rsidRPr="00B563E8" w14:paraId="00F0531E" w14:textId="77777777" w:rsidTr="00AA324E">
        <w:trPr>
          <w:cantSplit/>
        </w:trPr>
        <w:tc>
          <w:tcPr>
            <w:tcW w:w="1869" w:type="dxa"/>
            <w:shd w:val="clear" w:color="auto" w:fill="auto"/>
            <w:tcMar>
              <w:top w:w="91" w:type="dxa"/>
              <w:left w:w="0" w:type="dxa"/>
              <w:bottom w:w="91" w:type="dxa"/>
              <w:right w:w="0" w:type="dxa"/>
            </w:tcMar>
          </w:tcPr>
          <w:p w14:paraId="489336A1"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52A3955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8A4A55C"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F689F3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BB04D2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58BD083"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0FCB3684"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01F7226D" w14:textId="77777777" w:rsidR="00321145" w:rsidRPr="00B563E8" w:rsidRDefault="00321145" w:rsidP="00AA324E">
            <w:pPr>
              <w:pStyle w:val="TableBlock"/>
              <w:rPr>
                <w:rtl/>
              </w:rPr>
            </w:pPr>
            <w:r w:rsidRPr="00B563E8">
              <w:rPr>
                <w:rtl/>
              </w:rPr>
              <w:t>(2)</w:t>
            </w:r>
            <w:r w:rsidRPr="00B563E8">
              <w:rPr>
                <w:rtl/>
              </w:rPr>
              <w:tab/>
              <w:t xml:space="preserve">רב </w:t>
            </w:r>
            <w:r>
              <w:rPr>
                <w:rFonts w:hint="cs"/>
                <w:rtl/>
              </w:rPr>
              <w:t>מקומי</w:t>
            </w:r>
            <w:r w:rsidRPr="00B563E8">
              <w:rPr>
                <w:rtl/>
              </w:rPr>
              <w:t>;</w:t>
            </w:r>
          </w:p>
        </w:tc>
      </w:tr>
      <w:tr w:rsidR="00321145" w:rsidRPr="00B563E8" w14:paraId="0A911B5F" w14:textId="77777777" w:rsidTr="00AA324E">
        <w:trPr>
          <w:cantSplit/>
        </w:trPr>
        <w:tc>
          <w:tcPr>
            <w:tcW w:w="1869" w:type="dxa"/>
            <w:shd w:val="clear" w:color="auto" w:fill="auto"/>
            <w:tcMar>
              <w:top w:w="91" w:type="dxa"/>
              <w:left w:w="0" w:type="dxa"/>
              <w:bottom w:w="91" w:type="dxa"/>
              <w:right w:w="0" w:type="dxa"/>
            </w:tcMar>
          </w:tcPr>
          <w:p w14:paraId="1EB15D20"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154E5A1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9E2869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251744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9E7ADBB"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80086CD" w14:textId="77777777" w:rsidR="00321145" w:rsidRPr="00B64481" w:rsidRDefault="00321145" w:rsidP="00AA324E">
            <w:pPr>
              <w:pStyle w:val="TableText"/>
              <w:rPr>
                <w:rtl/>
              </w:rPr>
            </w:pPr>
          </w:p>
        </w:tc>
        <w:tc>
          <w:tcPr>
            <w:tcW w:w="624" w:type="dxa"/>
            <w:shd w:val="clear" w:color="auto" w:fill="auto"/>
            <w:tcMar>
              <w:top w:w="91" w:type="dxa"/>
              <w:left w:w="0" w:type="dxa"/>
              <w:bottom w:w="91" w:type="dxa"/>
              <w:right w:w="0" w:type="dxa"/>
            </w:tcMar>
          </w:tcPr>
          <w:p w14:paraId="674022DA" w14:textId="77777777" w:rsidR="00321145" w:rsidRPr="00B563E8" w:rsidRDefault="00321145" w:rsidP="00AA324E">
            <w:pPr>
              <w:pStyle w:val="TableText"/>
              <w:rPr>
                <w:rtl/>
              </w:rPr>
            </w:pPr>
          </w:p>
        </w:tc>
        <w:tc>
          <w:tcPr>
            <w:tcW w:w="4025" w:type="dxa"/>
            <w:gridSpan w:val="2"/>
            <w:shd w:val="clear" w:color="auto" w:fill="auto"/>
            <w:tcMar>
              <w:top w:w="91" w:type="dxa"/>
              <w:left w:w="0" w:type="dxa"/>
              <w:bottom w:w="91" w:type="dxa"/>
              <w:right w:w="0" w:type="dxa"/>
            </w:tcMar>
          </w:tcPr>
          <w:p w14:paraId="22860596" w14:textId="77777777" w:rsidR="00321145" w:rsidRPr="00B563E8" w:rsidRDefault="00321145" w:rsidP="00AA324E">
            <w:pPr>
              <w:pStyle w:val="TableBlock"/>
              <w:rPr>
                <w:rtl/>
              </w:rPr>
            </w:pPr>
            <w:r w:rsidRPr="00B563E8">
              <w:rPr>
                <w:rtl/>
              </w:rPr>
              <w:t>(</w:t>
            </w:r>
            <w:r>
              <w:rPr>
                <w:rFonts w:hint="cs"/>
                <w:rtl/>
              </w:rPr>
              <w:t>3</w:t>
            </w:r>
            <w:r w:rsidRPr="00B563E8">
              <w:rPr>
                <w:rtl/>
              </w:rPr>
              <w:t>)</w:t>
            </w:r>
            <w:r w:rsidRPr="00B563E8">
              <w:rPr>
                <w:rtl/>
              </w:rPr>
              <w:tab/>
            </w:r>
            <w:r>
              <w:rPr>
                <w:rFonts w:hint="cs"/>
                <w:rtl/>
              </w:rPr>
              <w:t xml:space="preserve">מי שבידו אישור בכתב מהמועצה שהוא רב בישראל, ומתקיים בו אחד מאלה: </w:t>
            </w:r>
          </w:p>
        </w:tc>
      </w:tr>
      <w:tr w:rsidR="00321145" w14:paraId="17F59931" w14:textId="77777777" w:rsidTr="00AA324E">
        <w:tblPrEx>
          <w:tblLook w:val="01E0" w:firstRow="1" w:lastRow="1" w:firstColumn="1" w:lastColumn="1" w:noHBand="0" w:noVBand="0"/>
        </w:tblPrEx>
        <w:trPr>
          <w:cantSplit/>
          <w:trHeight w:val="60"/>
        </w:trPr>
        <w:tc>
          <w:tcPr>
            <w:tcW w:w="1869" w:type="dxa"/>
          </w:tcPr>
          <w:p w14:paraId="7BD3B0BF" w14:textId="77777777" w:rsidR="00321145" w:rsidRDefault="00321145" w:rsidP="00AA324E">
            <w:pPr>
              <w:pStyle w:val="TableSideHeading"/>
            </w:pPr>
          </w:p>
        </w:tc>
        <w:tc>
          <w:tcPr>
            <w:tcW w:w="624" w:type="dxa"/>
          </w:tcPr>
          <w:p w14:paraId="03309A28" w14:textId="77777777" w:rsidR="00321145" w:rsidRDefault="00321145" w:rsidP="00AA324E">
            <w:pPr>
              <w:pStyle w:val="TableText"/>
            </w:pPr>
          </w:p>
        </w:tc>
        <w:tc>
          <w:tcPr>
            <w:tcW w:w="624" w:type="dxa"/>
          </w:tcPr>
          <w:p w14:paraId="7A96B34A" w14:textId="77777777" w:rsidR="00321145" w:rsidRDefault="00321145" w:rsidP="00AA324E">
            <w:pPr>
              <w:pStyle w:val="TableText"/>
            </w:pPr>
          </w:p>
        </w:tc>
        <w:tc>
          <w:tcPr>
            <w:tcW w:w="624" w:type="dxa"/>
          </w:tcPr>
          <w:p w14:paraId="02691806" w14:textId="77777777" w:rsidR="00321145" w:rsidRDefault="00321145" w:rsidP="00AA324E">
            <w:pPr>
              <w:pStyle w:val="TableText"/>
            </w:pPr>
          </w:p>
        </w:tc>
        <w:tc>
          <w:tcPr>
            <w:tcW w:w="624" w:type="dxa"/>
          </w:tcPr>
          <w:p w14:paraId="14CB4538" w14:textId="77777777" w:rsidR="00321145" w:rsidRDefault="00321145" w:rsidP="00AA324E">
            <w:pPr>
              <w:pStyle w:val="TableText"/>
            </w:pPr>
          </w:p>
        </w:tc>
        <w:tc>
          <w:tcPr>
            <w:tcW w:w="624" w:type="dxa"/>
          </w:tcPr>
          <w:p w14:paraId="552B412C" w14:textId="77777777" w:rsidR="00321145" w:rsidRDefault="00321145" w:rsidP="00AA324E">
            <w:pPr>
              <w:pStyle w:val="TableText"/>
            </w:pPr>
          </w:p>
        </w:tc>
        <w:tc>
          <w:tcPr>
            <w:tcW w:w="624" w:type="dxa"/>
          </w:tcPr>
          <w:p w14:paraId="77701EEE" w14:textId="77777777" w:rsidR="00321145" w:rsidRDefault="00321145" w:rsidP="00AA324E">
            <w:pPr>
              <w:pStyle w:val="TableText"/>
            </w:pPr>
          </w:p>
        </w:tc>
        <w:tc>
          <w:tcPr>
            <w:tcW w:w="624" w:type="dxa"/>
          </w:tcPr>
          <w:p w14:paraId="235F8A85" w14:textId="77777777" w:rsidR="00321145" w:rsidRDefault="00321145" w:rsidP="00AA324E">
            <w:pPr>
              <w:pStyle w:val="TableText"/>
            </w:pPr>
          </w:p>
        </w:tc>
        <w:tc>
          <w:tcPr>
            <w:tcW w:w="3401" w:type="dxa"/>
          </w:tcPr>
          <w:p w14:paraId="2351E61D" w14:textId="77777777" w:rsidR="00321145" w:rsidRDefault="00321145" w:rsidP="00AA324E">
            <w:pPr>
              <w:pStyle w:val="TableBlock"/>
            </w:pPr>
            <w:r>
              <w:rPr>
                <w:rFonts w:hint="cs"/>
                <w:rtl/>
              </w:rPr>
              <w:t>(א)</w:t>
            </w:r>
            <w:r>
              <w:rPr>
                <w:rtl/>
              </w:rPr>
              <w:tab/>
            </w:r>
            <w:r>
              <w:rPr>
                <w:rFonts w:hint="cs"/>
                <w:rtl/>
              </w:rPr>
              <w:t>הוא מכהן כראש ישיבה עשר שנים לפחות;</w:t>
            </w:r>
          </w:p>
        </w:tc>
      </w:tr>
      <w:tr w:rsidR="00321145" w14:paraId="39237C00" w14:textId="77777777" w:rsidTr="00AA324E">
        <w:tblPrEx>
          <w:tblLook w:val="01E0" w:firstRow="1" w:lastRow="1" w:firstColumn="1" w:lastColumn="1" w:noHBand="0" w:noVBand="0"/>
        </w:tblPrEx>
        <w:trPr>
          <w:cantSplit/>
          <w:trHeight w:val="60"/>
        </w:trPr>
        <w:tc>
          <w:tcPr>
            <w:tcW w:w="1869" w:type="dxa"/>
          </w:tcPr>
          <w:p w14:paraId="4402982F" w14:textId="77777777" w:rsidR="00321145" w:rsidRDefault="00321145" w:rsidP="00AA324E">
            <w:pPr>
              <w:pStyle w:val="TableSideHeading"/>
            </w:pPr>
          </w:p>
        </w:tc>
        <w:tc>
          <w:tcPr>
            <w:tcW w:w="624" w:type="dxa"/>
          </w:tcPr>
          <w:p w14:paraId="3295236F" w14:textId="77777777" w:rsidR="00321145" w:rsidRDefault="00321145" w:rsidP="00AA324E">
            <w:pPr>
              <w:pStyle w:val="TableText"/>
            </w:pPr>
          </w:p>
        </w:tc>
        <w:tc>
          <w:tcPr>
            <w:tcW w:w="624" w:type="dxa"/>
          </w:tcPr>
          <w:p w14:paraId="1E7D236E" w14:textId="77777777" w:rsidR="00321145" w:rsidRDefault="00321145" w:rsidP="00AA324E">
            <w:pPr>
              <w:pStyle w:val="TableText"/>
            </w:pPr>
          </w:p>
        </w:tc>
        <w:tc>
          <w:tcPr>
            <w:tcW w:w="624" w:type="dxa"/>
          </w:tcPr>
          <w:p w14:paraId="41C4FF17" w14:textId="77777777" w:rsidR="00321145" w:rsidRDefault="00321145" w:rsidP="00AA324E">
            <w:pPr>
              <w:pStyle w:val="TableText"/>
            </w:pPr>
          </w:p>
        </w:tc>
        <w:tc>
          <w:tcPr>
            <w:tcW w:w="624" w:type="dxa"/>
          </w:tcPr>
          <w:p w14:paraId="3D7ADDD0" w14:textId="77777777" w:rsidR="00321145" w:rsidRDefault="00321145" w:rsidP="00AA324E">
            <w:pPr>
              <w:pStyle w:val="TableText"/>
            </w:pPr>
          </w:p>
        </w:tc>
        <w:tc>
          <w:tcPr>
            <w:tcW w:w="624" w:type="dxa"/>
          </w:tcPr>
          <w:p w14:paraId="2D9C40D7" w14:textId="77777777" w:rsidR="00321145" w:rsidRDefault="00321145" w:rsidP="00AA324E">
            <w:pPr>
              <w:pStyle w:val="TableText"/>
            </w:pPr>
          </w:p>
        </w:tc>
        <w:tc>
          <w:tcPr>
            <w:tcW w:w="624" w:type="dxa"/>
          </w:tcPr>
          <w:p w14:paraId="5E704E7F" w14:textId="77777777" w:rsidR="00321145" w:rsidRDefault="00321145" w:rsidP="00AA324E">
            <w:pPr>
              <w:pStyle w:val="TableText"/>
            </w:pPr>
          </w:p>
        </w:tc>
        <w:tc>
          <w:tcPr>
            <w:tcW w:w="624" w:type="dxa"/>
          </w:tcPr>
          <w:p w14:paraId="1580488A" w14:textId="77777777" w:rsidR="00321145" w:rsidRDefault="00321145" w:rsidP="00AA324E">
            <w:pPr>
              <w:pStyle w:val="TableText"/>
            </w:pPr>
          </w:p>
        </w:tc>
        <w:tc>
          <w:tcPr>
            <w:tcW w:w="3401" w:type="dxa"/>
          </w:tcPr>
          <w:p w14:paraId="756B86E8" w14:textId="77777777" w:rsidR="00321145" w:rsidRDefault="00321145" w:rsidP="00AA324E">
            <w:pPr>
              <w:pStyle w:val="TableBlock"/>
            </w:pPr>
            <w:r>
              <w:rPr>
                <w:rFonts w:hint="cs"/>
                <w:rtl/>
              </w:rPr>
              <w:t>(ב)</w:t>
            </w:r>
            <w:r>
              <w:rPr>
                <w:rtl/>
              </w:rPr>
              <w:tab/>
            </w:r>
            <w:r>
              <w:rPr>
                <w:rFonts w:hint="cs"/>
                <w:rtl/>
              </w:rPr>
              <w:t xml:space="preserve">הוא </w:t>
            </w:r>
            <w:r w:rsidRPr="00B563E8">
              <w:rPr>
                <w:rtl/>
              </w:rPr>
              <w:t>עבר בחינה בכתב בנושא גיור ומילה על ידי המועצה או שהמועצה פטרה אותו מבחינה כאמור.</w:t>
            </w:r>
          </w:p>
        </w:tc>
      </w:tr>
      <w:tr w:rsidR="00321145" w:rsidRPr="00B563E8" w14:paraId="433FBEA7" w14:textId="77777777" w:rsidTr="00AA324E">
        <w:trPr>
          <w:cantSplit/>
        </w:trPr>
        <w:tc>
          <w:tcPr>
            <w:tcW w:w="1869" w:type="dxa"/>
            <w:shd w:val="clear" w:color="auto" w:fill="auto"/>
            <w:tcMar>
              <w:top w:w="91" w:type="dxa"/>
              <w:left w:w="0" w:type="dxa"/>
              <w:bottom w:w="91" w:type="dxa"/>
              <w:right w:w="0" w:type="dxa"/>
            </w:tcMar>
          </w:tcPr>
          <w:p w14:paraId="2158E072"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69A7441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0EBF58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7382234"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F84E1A9"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7D1CFC8"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471D1F1F" w14:textId="77777777" w:rsidR="00321145" w:rsidRPr="00B563E8" w:rsidRDefault="00321145" w:rsidP="00AA324E">
            <w:pPr>
              <w:pStyle w:val="TableBlock"/>
              <w:rPr>
                <w:rtl/>
              </w:rPr>
            </w:pPr>
            <w:r w:rsidRPr="00B563E8">
              <w:rPr>
                <w:rtl/>
              </w:rPr>
              <w:t>(ב)</w:t>
            </w:r>
            <w:r w:rsidRPr="00B563E8">
              <w:rPr>
                <w:rtl/>
              </w:rPr>
              <w:tab/>
              <w:t>לא ימונה לדיין גיור מי שהורשע בעבירה פלילית או עבירה משמעתית שמפאת מהותה, חומרתה או נסיבותיה אין הוא ראוי לכהן כדיין גיור.</w:t>
            </w:r>
          </w:p>
        </w:tc>
      </w:tr>
      <w:tr w:rsidR="00321145" w:rsidRPr="00B563E8" w14:paraId="7FD5E5E1" w14:textId="77777777" w:rsidTr="00AA324E">
        <w:trPr>
          <w:cantSplit/>
        </w:trPr>
        <w:tc>
          <w:tcPr>
            <w:tcW w:w="1869" w:type="dxa"/>
            <w:shd w:val="clear" w:color="auto" w:fill="auto"/>
            <w:tcMar>
              <w:top w:w="91" w:type="dxa"/>
              <w:left w:w="0" w:type="dxa"/>
              <w:bottom w:w="91" w:type="dxa"/>
              <w:right w:w="0" w:type="dxa"/>
            </w:tcMar>
          </w:tcPr>
          <w:p w14:paraId="7F81F710"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37F01E51"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11C7ECDC" w14:textId="77777777" w:rsidR="00321145" w:rsidRPr="00B563E8" w:rsidRDefault="00321145" w:rsidP="00AA324E">
            <w:pPr>
              <w:pStyle w:val="TableInnerSideHeading"/>
              <w:rPr>
                <w:rtl/>
              </w:rPr>
            </w:pPr>
            <w:r w:rsidRPr="00B563E8">
              <w:rPr>
                <w:rtl/>
              </w:rPr>
              <w:t>מינוי דיין גיור</w:t>
            </w:r>
          </w:p>
        </w:tc>
        <w:tc>
          <w:tcPr>
            <w:tcW w:w="624" w:type="dxa"/>
            <w:shd w:val="clear" w:color="auto" w:fill="auto"/>
            <w:tcMar>
              <w:top w:w="91" w:type="dxa"/>
              <w:left w:w="0" w:type="dxa"/>
              <w:bottom w:w="91" w:type="dxa"/>
              <w:right w:w="0" w:type="dxa"/>
            </w:tcMar>
          </w:tcPr>
          <w:p w14:paraId="3DD668D2" w14:textId="77777777" w:rsidR="00321145" w:rsidRPr="00B64481" w:rsidRDefault="00321145" w:rsidP="00AA324E">
            <w:pPr>
              <w:pStyle w:val="TableText"/>
              <w:rPr>
                <w:rtl/>
              </w:rPr>
            </w:pPr>
            <w:r w:rsidRPr="00B64481">
              <w:rPr>
                <w:rtl/>
              </w:rPr>
              <w:t>9.</w:t>
            </w:r>
          </w:p>
        </w:tc>
        <w:tc>
          <w:tcPr>
            <w:tcW w:w="4649" w:type="dxa"/>
            <w:gridSpan w:val="3"/>
            <w:shd w:val="clear" w:color="auto" w:fill="auto"/>
            <w:tcMar>
              <w:top w:w="91" w:type="dxa"/>
              <w:left w:w="0" w:type="dxa"/>
              <w:bottom w:w="91" w:type="dxa"/>
              <w:right w:w="0" w:type="dxa"/>
            </w:tcMar>
          </w:tcPr>
          <w:p w14:paraId="65802344" w14:textId="77777777" w:rsidR="00321145" w:rsidRPr="00B563E8" w:rsidRDefault="00321145" w:rsidP="00AA324E">
            <w:pPr>
              <w:pStyle w:val="TableBlock"/>
              <w:rPr>
                <w:rtl/>
              </w:rPr>
            </w:pPr>
            <w:r w:rsidRPr="00B563E8">
              <w:rPr>
                <w:rtl/>
              </w:rPr>
              <w:t>דיין גיור יתמנה בידי הממשלה בהתאם להוראות סעיף 23 לחוק שירות המדינה (מינויים), התשי"ט–1959, לפי המלצת ועדה לאיתור דייני גיור</w:t>
            </w:r>
            <w:r>
              <w:rPr>
                <w:rFonts w:hint="cs"/>
                <w:rtl/>
              </w:rPr>
              <w:t>; בהרכב ועדת האיתור יינתן ייצוג הולם לבני שני המינים</w:t>
            </w:r>
            <w:r w:rsidRPr="00B563E8">
              <w:rPr>
                <w:rtl/>
              </w:rPr>
              <w:t>.</w:t>
            </w:r>
          </w:p>
        </w:tc>
      </w:tr>
      <w:tr w:rsidR="00321145" w14:paraId="5B1BC119" w14:textId="77777777" w:rsidTr="00AA324E">
        <w:tblPrEx>
          <w:tblLook w:val="01E0" w:firstRow="1" w:lastRow="1" w:firstColumn="1" w:lastColumn="1" w:noHBand="0" w:noVBand="0"/>
        </w:tblPrEx>
        <w:trPr>
          <w:cantSplit/>
          <w:trHeight w:val="60"/>
        </w:trPr>
        <w:tc>
          <w:tcPr>
            <w:tcW w:w="1869" w:type="dxa"/>
          </w:tcPr>
          <w:p w14:paraId="4BE0E472" w14:textId="77777777" w:rsidR="00321145" w:rsidRDefault="00321145" w:rsidP="00AA324E">
            <w:pPr>
              <w:pStyle w:val="TableSideHeading"/>
              <w:keepLines w:val="0"/>
            </w:pPr>
          </w:p>
        </w:tc>
        <w:tc>
          <w:tcPr>
            <w:tcW w:w="624" w:type="dxa"/>
          </w:tcPr>
          <w:p w14:paraId="0DA8BF0F" w14:textId="77777777" w:rsidR="00321145" w:rsidRDefault="00321145" w:rsidP="00AA324E">
            <w:pPr>
              <w:pStyle w:val="TableText"/>
              <w:keepLines w:val="0"/>
            </w:pPr>
          </w:p>
        </w:tc>
        <w:tc>
          <w:tcPr>
            <w:tcW w:w="1872" w:type="dxa"/>
            <w:gridSpan w:val="3"/>
          </w:tcPr>
          <w:p w14:paraId="1DB66D88" w14:textId="77777777" w:rsidR="00321145" w:rsidRDefault="00321145" w:rsidP="00AA324E">
            <w:pPr>
              <w:pStyle w:val="TableInnerSideHeading"/>
            </w:pPr>
            <w:r w:rsidRPr="00CC708C">
              <w:rPr>
                <w:rFonts w:hint="cs"/>
                <w:rtl/>
              </w:rPr>
              <w:t xml:space="preserve">כהונה </w:t>
            </w:r>
            <w:r>
              <w:rPr>
                <w:rFonts w:hint="cs"/>
                <w:rtl/>
              </w:rPr>
              <w:t>מתוקף</w:t>
            </w:r>
            <w:r w:rsidRPr="00CC708C">
              <w:rPr>
                <w:rFonts w:hint="cs"/>
                <w:rtl/>
              </w:rPr>
              <w:t xml:space="preserve"> תפקיד</w:t>
            </w:r>
          </w:p>
        </w:tc>
        <w:tc>
          <w:tcPr>
            <w:tcW w:w="624" w:type="dxa"/>
          </w:tcPr>
          <w:p w14:paraId="7A94AE07" w14:textId="77777777" w:rsidR="00321145" w:rsidRDefault="00321145" w:rsidP="00AA324E">
            <w:pPr>
              <w:pStyle w:val="TableText"/>
            </w:pPr>
            <w:r w:rsidRPr="00CC708C">
              <w:rPr>
                <w:rFonts w:hint="cs"/>
                <w:rtl/>
              </w:rPr>
              <w:t>10.</w:t>
            </w:r>
          </w:p>
        </w:tc>
        <w:tc>
          <w:tcPr>
            <w:tcW w:w="4649" w:type="dxa"/>
            <w:gridSpan w:val="3"/>
          </w:tcPr>
          <w:p w14:paraId="34E54884" w14:textId="77777777" w:rsidR="00321145" w:rsidRDefault="00321145" w:rsidP="00AA324E">
            <w:pPr>
              <w:pStyle w:val="TableBlock"/>
            </w:pPr>
            <w:r>
              <w:rPr>
                <w:rFonts w:hint="cs"/>
                <w:rtl/>
              </w:rPr>
              <w:t xml:space="preserve">על אף האמור בסעיף 9, </w:t>
            </w:r>
            <w:r w:rsidRPr="00CC708C">
              <w:rPr>
                <w:rFonts w:hint="cs"/>
                <w:rtl/>
              </w:rPr>
              <w:t xml:space="preserve">רב מקומי </w:t>
            </w:r>
            <w:r>
              <w:rPr>
                <w:rFonts w:hint="cs"/>
                <w:rtl/>
              </w:rPr>
              <w:t xml:space="preserve">הכשיר להתמנות לדיין לפי חוק הדיינים, שכיהן כראש ישיבה עשר שנים לפחות או שעבר בחינה בכתב </w:t>
            </w:r>
            <w:r w:rsidRPr="00B563E8">
              <w:rPr>
                <w:rtl/>
              </w:rPr>
              <w:t xml:space="preserve">בנושא גיור ומילה על ידי המועצה </w:t>
            </w:r>
            <w:r w:rsidRPr="00CC708C">
              <w:rPr>
                <w:rFonts w:hint="cs"/>
                <w:rtl/>
              </w:rPr>
              <w:t>יהיה דיין גיור</w:t>
            </w:r>
            <w:r>
              <w:rPr>
                <w:rFonts w:hint="cs"/>
                <w:rtl/>
              </w:rPr>
              <w:t>.</w:t>
            </w:r>
          </w:p>
        </w:tc>
      </w:tr>
      <w:tr w:rsidR="00321145" w:rsidRPr="00B563E8" w14:paraId="7A8E9B26" w14:textId="77777777" w:rsidTr="00AA324E">
        <w:trPr>
          <w:cantSplit/>
        </w:trPr>
        <w:tc>
          <w:tcPr>
            <w:tcW w:w="1869" w:type="dxa"/>
            <w:shd w:val="clear" w:color="auto" w:fill="auto"/>
            <w:tcMar>
              <w:top w:w="91" w:type="dxa"/>
              <w:left w:w="0" w:type="dxa"/>
              <w:bottom w:w="91" w:type="dxa"/>
              <w:right w:w="0" w:type="dxa"/>
            </w:tcMar>
          </w:tcPr>
          <w:p w14:paraId="52CBD16B"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702DE0F1"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2B1B6D0C" w14:textId="77777777" w:rsidR="00321145" w:rsidRPr="00B563E8" w:rsidRDefault="00321145" w:rsidP="00AA324E">
            <w:pPr>
              <w:pStyle w:val="TableInnerSideHeading"/>
              <w:rPr>
                <w:rtl/>
              </w:rPr>
            </w:pPr>
            <w:r w:rsidRPr="00B563E8">
              <w:rPr>
                <w:rtl/>
              </w:rPr>
              <w:t>קביעת מותבים</w:t>
            </w:r>
          </w:p>
        </w:tc>
        <w:tc>
          <w:tcPr>
            <w:tcW w:w="624" w:type="dxa"/>
            <w:shd w:val="clear" w:color="auto" w:fill="auto"/>
            <w:tcMar>
              <w:top w:w="91" w:type="dxa"/>
              <w:left w:w="0" w:type="dxa"/>
              <w:bottom w:w="91" w:type="dxa"/>
              <w:right w:w="0" w:type="dxa"/>
            </w:tcMar>
          </w:tcPr>
          <w:p w14:paraId="563323A0" w14:textId="77777777" w:rsidR="00321145" w:rsidRPr="00B64481" w:rsidRDefault="00321145" w:rsidP="00AA324E">
            <w:pPr>
              <w:pStyle w:val="TableText"/>
              <w:rPr>
                <w:rtl/>
              </w:rPr>
            </w:pPr>
            <w:r>
              <w:rPr>
                <w:rFonts w:hint="cs"/>
                <w:rtl/>
              </w:rPr>
              <w:t>11</w:t>
            </w:r>
            <w:r w:rsidRPr="00B64481">
              <w:rPr>
                <w:rtl/>
              </w:rPr>
              <w:t>.</w:t>
            </w:r>
          </w:p>
        </w:tc>
        <w:tc>
          <w:tcPr>
            <w:tcW w:w="4649" w:type="dxa"/>
            <w:gridSpan w:val="3"/>
            <w:shd w:val="clear" w:color="auto" w:fill="auto"/>
            <w:tcMar>
              <w:top w:w="91" w:type="dxa"/>
              <w:left w:w="0" w:type="dxa"/>
              <w:bottom w:w="91" w:type="dxa"/>
              <w:right w:w="0" w:type="dxa"/>
            </w:tcMar>
          </w:tcPr>
          <w:p w14:paraId="02EA88CC" w14:textId="77777777" w:rsidR="00321145" w:rsidRPr="00B563E8" w:rsidRDefault="00321145" w:rsidP="00AA324E">
            <w:pPr>
              <w:pStyle w:val="TableBlock"/>
              <w:rPr>
                <w:rtl/>
              </w:rPr>
            </w:pPr>
            <w:r w:rsidRPr="00B563E8">
              <w:rPr>
                <w:rtl/>
              </w:rPr>
              <w:t>(א)</w:t>
            </w:r>
            <w:r w:rsidRPr="00B563E8">
              <w:rPr>
                <w:rtl/>
              </w:rPr>
              <w:tab/>
              <w:t xml:space="preserve">רב מקומי </w:t>
            </w:r>
            <w:r>
              <w:rPr>
                <w:rFonts w:hint="cs"/>
                <w:rtl/>
              </w:rPr>
              <w:t xml:space="preserve">שמתקיים בו האמור בסעיף 10 </w:t>
            </w:r>
            <w:r w:rsidRPr="00B563E8">
              <w:rPr>
                <w:rtl/>
              </w:rPr>
              <w:t>או הרב הצבאי הראשי המבקשים לקבוע מותב של בית דין לגיור, יגישו בקשה לראש מערך הגיור.</w:t>
            </w:r>
          </w:p>
        </w:tc>
      </w:tr>
      <w:tr w:rsidR="00321145" w:rsidRPr="00B563E8" w14:paraId="1314DD38" w14:textId="77777777" w:rsidTr="00AA324E">
        <w:trPr>
          <w:cantSplit/>
        </w:trPr>
        <w:tc>
          <w:tcPr>
            <w:tcW w:w="1869" w:type="dxa"/>
            <w:shd w:val="clear" w:color="auto" w:fill="auto"/>
            <w:tcMar>
              <w:top w:w="91" w:type="dxa"/>
              <w:left w:w="0" w:type="dxa"/>
              <w:bottom w:w="91" w:type="dxa"/>
              <w:right w:w="0" w:type="dxa"/>
            </w:tcMar>
          </w:tcPr>
          <w:p w14:paraId="4BE304FB"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5F42EB9F"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55615D2"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28FD1B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26D0458"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B4C538C"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3A2E08D0" w14:textId="77777777" w:rsidR="00321145" w:rsidRPr="00B563E8" w:rsidRDefault="00321145" w:rsidP="00AA324E">
            <w:pPr>
              <w:pStyle w:val="TableBlock"/>
              <w:rPr>
                <w:rtl/>
              </w:rPr>
            </w:pPr>
            <w:r w:rsidRPr="00B563E8">
              <w:rPr>
                <w:rtl/>
              </w:rPr>
              <w:t>(ב)</w:t>
            </w:r>
            <w:r w:rsidRPr="00B563E8">
              <w:rPr>
                <w:rtl/>
              </w:rPr>
              <w:tab/>
              <w:t>ראש מערך הגיור ישיב לבקשה כאמור בסעיף קטן (א) בתוך שלושים ימים מיום הגשתה.</w:t>
            </w:r>
          </w:p>
        </w:tc>
      </w:tr>
      <w:tr w:rsidR="00321145" w:rsidRPr="00B563E8" w14:paraId="09F015E0" w14:textId="77777777" w:rsidTr="00AA324E">
        <w:trPr>
          <w:cantSplit/>
        </w:trPr>
        <w:tc>
          <w:tcPr>
            <w:tcW w:w="1869" w:type="dxa"/>
            <w:shd w:val="clear" w:color="auto" w:fill="auto"/>
            <w:tcMar>
              <w:top w:w="91" w:type="dxa"/>
              <w:left w:w="0" w:type="dxa"/>
              <w:bottom w:w="91" w:type="dxa"/>
              <w:right w:w="0" w:type="dxa"/>
            </w:tcMar>
          </w:tcPr>
          <w:p w14:paraId="22777607"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5BF7A55C"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468FAAD0"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098D91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2CCED91"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1AC2C5F2"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3D308877" w14:textId="77777777" w:rsidR="00321145" w:rsidRPr="00B563E8" w:rsidRDefault="00321145" w:rsidP="00AA324E">
            <w:pPr>
              <w:pStyle w:val="TableBlock"/>
              <w:rPr>
                <w:rtl/>
              </w:rPr>
            </w:pPr>
            <w:r w:rsidRPr="00B563E8">
              <w:rPr>
                <w:rtl/>
              </w:rPr>
              <w:t>(ג)</w:t>
            </w:r>
            <w:r w:rsidRPr="00B563E8">
              <w:rPr>
                <w:rtl/>
              </w:rPr>
              <w:tab/>
              <w:t xml:space="preserve">מצא ראש מערך הגיור כי </w:t>
            </w:r>
            <w:r w:rsidRPr="008F35F0">
              <w:rPr>
                <w:rtl/>
              </w:rPr>
              <w:t xml:space="preserve">המותב המוצע תואם את הוראות </w:t>
            </w:r>
            <w:r w:rsidRPr="008F35F0">
              <w:rPr>
                <w:rFonts w:hint="eastAsia"/>
                <w:rtl/>
              </w:rPr>
              <w:t>סעיף</w:t>
            </w:r>
            <w:r w:rsidRPr="008F35F0">
              <w:rPr>
                <w:rtl/>
              </w:rPr>
              <w:t xml:space="preserve"> </w:t>
            </w:r>
            <w:r>
              <w:rPr>
                <w:rFonts w:hint="cs"/>
                <w:rtl/>
              </w:rPr>
              <w:t>12</w:t>
            </w:r>
            <w:r w:rsidRPr="008F35F0">
              <w:rPr>
                <w:rtl/>
              </w:rPr>
              <w:t>, יאשר</w:t>
            </w:r>
            <w:r w:rsidRPr="00B563E8">
              <w:rPr>
                <w:rtl/>
              </w:rPr>
              <w:t xml:space="preserve"> את קביעת המותב.</w:t>
            </w:r>
          </w:p>
        </w:tc>
      </w:tr>
      <w:tr w:rsidR="00321145" w:rsidRPr="00B563E8" w14:paraId="5A11E688" w14:textId="77777777" w:rsidTr="00AA324E">
        <w:trPr>
          <w:cantSplit/>
        </w:trPr>
        <w:tc>
          <w:tcPr>
            <w:tcW w:w="1869" w:type="dxa"/>
            <w:shd w:val="clear" w:color="auto" w:fill="auto"/>
            <w:tcMar>
              <w:top w:w="91" w:type="dxa"/>
              <w:left w:w="0" w:type="dxa"/>
              <w:bottom w:w="91" w:type="dxa"/>
              <w:right w:w="0" w:type="dxa"/>
            </w:tcMar>
          </w:tcPr>
          <w:p w14:paraId="5A83E147"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106655C2"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40F4BBB5" w14:textId="77777777" w:rsidR="00321145" w:rsidRPr="00B563E8" w:rsidRDefault="00321145" w:rsidP="00AA324E">
            <w:pPr>
              <w:pStyle w:val="TableInnerSideHeading"/>
              <w:rPr>
                <w:rtl/>
              </w:rPr>
            </w:pPr>
            <w:r w:rsidRPr="00B563E8">
              <w:rPr>
                <w:rtl/>
              </w:rPr>
              <w:t>מותב בית דין לגיור</w:t>
            </w:r>
          </w:p>
        </w:tc>
        <w:tc>
          <w:tcPr>
            <w:tcW w:w="624" w:type="dxa"/>
            <w:shd w:val="clear" w:color="auto" w:fill="auto"/>
            <w:tcMar>
              <w:top w:w="91" w:type="dxa"/>
              <w:left w:w="0" w:type="dxa"/>
              <w:bottom w:w="91" w:type="dxa"/>
              <w:right w:w="0" w:type="dxa"/>
            </w:tcMar>
          </w:tcPr>
          <w:p w14:paraId="07D1EC7E" w14:textId="77777777" w:rsidR="00321145" w:rsidRPr="00B64481" w:rsidRDefault="00321145" w:rsidP="00AA324E">
            <w:pPr>
              <w:pStyle w:val="TableText"/>
              <w:rPr>
                <w:rtl/>
              </w:rPr>
            </w:pPr>
            <w:r>
              <w:rPr>
                <w:rFonts w:hint="cs"/>
                <w:rtl/>
              </w:rPr>
              <w:t>12</w:t>
            </w:r>
            <w:r w:rsidRPr="00B64481">
              <w:rPr>
                <w:rtl/>
              </w:rPr>
              <w:t>.</w:t>
            </w:r>
          </w:p>
        </w:tc>
        <w:tc>
          <w:tcPr>
            <w:tcW w:w="4649" w:type="dxa"/>
            <w:gridSpan w:val="3"/>
            <w:shd w:val="clear" w:color="auto" w:fill="auto"/>
            <w:tcMar>
              <w:top w:w="91" w:type="dxa"/>
              <w:left w:w="0" w:type="dxa"/>
              <w:bottom w:w="91" w:type="dxa"/>
              <w:right w:w="0" w:type="dxa"/>
            </w:tcMar>
          </w:tcPr>
          <w:p w14:paraId="1B6A5A2B" w14:textId="77777777" w:rsidR="00321145" w:rsidRPr="00B563E8" w:rsidRDefault="00321145" w:rsidP="00AA324E">
            <w:pPr>
              <w:pStyle w:val="TableBlock"/>
              <w:rPr>
                <w:rtl/>
              </w:rPr>
            </w:pPr>
            <w:r w:rsidRPr="00B563E8">
              <w:rPr>
                <w:rtl/>
              </w:rPr>
              <w:t>(א)</w:t>
            </w:r>
            <w:r w:rsidRPr="00B563E8">
              <w:rPr>
                <w:rtl/>
              </w:rPr>
              <w:tab/>
              <w:t>בית דין לגיור ידון במותב של שלושה.</w:t>
            </w:r>
          </w:p>
        </w:tc>
      </w:tr>
      <w:tr w:rsidR="00321145" w14:paraId="35C5FB8F" w14:textId="77777777" w:rsidTr="00AA324E">
        <w:tblPrEx>
          <w:tblLook w:val="01E0" w:firstRow="1" w:lastRow="1" w:firstColumn="1" w:lastColumn="1" w:noHBand="0" w:noVBand="0"/>
        </w:tblPrEx>
        <w:trPr>
          <w:cantSplit/>
          <w:trHeight w:val="60"/>
        </w:trPr>
        <w:tc>
          <w:tcPr>
            <w:tcW w:w="1869" w:type="dxa"/>
          </w:tcPr>
          <w:p w14:paraId="7BC5D11C" w14:textId="77777777" w:rsidR="00321145" w:rsidRDefault="00321145" w:rsidP="00AA324E">
            <w:pPr>
              <w:pStyle w:val="TableSideHeading"/>
            </w:pPr>
          </w:p>
        </w:tc>
        <w:tc>
          <w:tcPr>
            <w:tcW w:w="624" w:type="dxa"/>
          </w:tcPr>
          <w:p w14:paraId="6EF419FA" w14:textId="77777777" w:rsidR="00321145" w:rsidRDefault="00321145" w:rsidP="00AA324E">
            <w:pPr>
              <w:pStyle w:val="TableText"/>
            </w:pPr>
          </w:p>
        </w:tc>
        <w:tc>
          <w:tcPr>
            <w:tcW w:w="624" w:type="dxa"/>
          </w:tcPr>
          <w:p w14:paraId="259580EF" w14:textId="77777777" w:rsidR="00321145" w:rsidRDefault="00321145" w:rsidP="00AA324E">
            <w:pPr>
              <w:pStyle w:val="TableText"/>
            </w:pPr>
          </w:p>
        </w:tc>
        <w:tc>
          <w:tcPr>
            <w:tcW w:w="624" w:type="dxa"/>
          </w:tcPr>
          <w:p w14:paraId="73802710" w14:textId="77777777" w:rsidR="00321145" w:rsidRDefault="00321145" w:rsidP="00AA324E">
            <w:pPr>
              <w:pStyle w:val="TableText"/>
            </w:pPr>
          </w:p>
        </w:tc>
        <w:tc>
          <w:tcPr>
            <w:tcW w:w="624" w:type="dxa"/>
          </w:tcPr>
          <w:p w14:paraId="166793A4" w14:textId="77777777" w:rsidR="00321145" w:rsidRDefault="00321145" w:rsidP="00AA324E">
            <w:pPr>
              <w:pStyle w:val="TableText"/>
            </w:pPr>
          </w:p>
        </w:tc>
        <w:tc>
          <w:tcPr>
            <w:tcW w:w="624" w:type="dxa"/>
          </w:tcPr>
          <w:p w14:paraId="1E97B3C0" w14:textId="77777777" w:rsidR="00321145" w:rsidRDefault="00321145" w:rsidP="00AA324E">
            <w:pPr>
              <w:pStyle w:val="TableText"/>
            </w:pPr>
          </w:p>
        </w:tc>
        <w:tc>
          <w:tcPr>
            <w:tcW w:w="4649" w:type="dxa"/>
            <w:gridSpan w:val="3"/>
          </w:tcPr>
          <w:p w14:paraId="3CD796EE" w14:textId="77777777" w:rsidR="00321145" w:rsidRDefault="00321145" w:rsidP="00AA324E">
            <w:pPr>
              <w:pStyle w:val="TableBlock"/>
            </w:pPr>
            <w:r w:rsidRPr="00CC708C">
              <w:rPr>
                <w:rFonts w:hint="cs"/>
                <w:rtl/>
              </w:rPr>
              <w:t>(ב)</w:t>
            </w:r>
            <w:r w:rsidRPr="00CC708C">
              <w:rPr>
                <w:rtl/>
              </w:rPr>
              <w:tab/>
            </w:r>
            <w:r w:rsidRPr="00CC708C">
              <w:rPr>
                <w:rFonts w:hint="cs"/>
                <w:rtl/>
              </w:rPr>
              <w:t xml:space="preserve">בכל מותב של בית דין לגיור שקבע רב מקומי יהיה הרב המקומי שקבע את המותב ראש </w:t>
            </w:r>
            <w:r>
              <w:rPr>
                <w:rFonts w:hint="cs"/>
                <w:rtl/>
              </w:rPr>
              <w:t>המותב</w:t>
            </w:r>
            <w:r w:rsidRPr="00CC708C">
              <w:rPr>
                <w:rFonts w:hint="cs"/>
                <w:rtl/>
              </w:rPr>
              <w:t xml:space="preserve">, והוא יבחר את שני חברי המותב הנוספים, </w:t>
            </w:r>
            <w:r>
              <w:rPr>
                <w:rFonts w:hint="cs"/>
                <w:rtl/>
              </w:rPr>
              <w:t>מבין המפורטים להלן:</w:t>
            </w:r>
          </w:p>
        </w:tc>
      </w:tr>
      <w:tr w:rsidR="00321145" w14:paraId="649520DB" w14:textId="77777777" w:rsidTr="00AA324E">
        <w:tblPrEx>
          <w:tblLook w:val="01E0" w:firstRow="1" w:lastRow="1" w:firstColumn="1" w:lastColumn="1" w:noHBand="0" w:noVBand="0"/>
        </w:tblPrEx>
        <w:trPr>
          <w:cantSplit/>
          <w:trHeight w:val="60"/>
        </w:trPr>
        <w:tc>
          <w:tcPr>
            <w:tcW w:w="1869" w:type="dxa"/>
          </w:tcPr>
          <w:p w14:paraId="0750614A" w14:textId="77777777" w:rsidR="00321145" w:rsidRDefault="00321145" w:rsidP="00AA324E">
            <w:pPr>
              <w:pStyle w:val="TableSideHeading"/>
            </w:pPr>
          </w:p>
        </w:tc>
        <w:tc>
          <w:tcPr>
            <w:tcW w:w="624" w:type="dxa"/>
          </w:tcPr>
          <w:p w14:paraId="31B0FA2C" w14:textId="77777777" w:rsidR="00321145" w:rsidRDefault="00321145" w:rsidP="00AA324E">
            <w:pPr>
              <w:pStyle w:val="TableText"/>
            </w:pPr>
          </w:p>
        </w:tc>
        <w:tc>
          <w:tcPr>
            <w:tcW w:w="624" w:type="dxa"/>
          </w:tcPr>
          <w:p w14:paraId="6D7A3CDA" w14:textId="77777777" w:rsidR="00321145" w:rsidRDefault="00321145" w:rsidP="00AA324E">
            <w:pPr>
              <w:pStyle w:val="TableText"/>
            </w:pPr>
          </w:p>
        </w:tc>
        <w:tc>
          <w:tcPr>
            <w:tcW w:w="624" w:type="dxa"/>
          </w:tcPr>
          <w:p w14:paraId="057D735B" w14:textId="77777777" w:rsidR="00321145" w:rsidRDefault="00321145" w:rsidP="00AA324E">
            <w:pPr>
              <w:pStyle w:val="TableText"/>
            </w:pPr>
          </w:p>
        </w:tc>
        <w:tc>
          <w:tcPr>
            <w:tcW w:w="624" w:type="dxa"/>
          </w:tcPr>
          <w:p w14:paraId="38BF1CC9" w14:textId="77777777" w:rsidR="00321145" w:rsidRDefault="00321145" w:rsidP="00AA324E">
            <w:pPr>
              <w:pStyle w:val="TableText"/>
            </w:pPr>
          </w:p>
        </w:tc>
        <w:tc>
          <w:tcPr>
            <w:tcW w:w="624" w:type="dxa"/>
          </w:tcPr>
          <w:p w14:paraId="16C023BD" w14:textId="77777777" w:rsidR="00321145" w:rsidRDefault="00321145" w:rsidP="00AA324E">
            <w:pPr>
              <w:pStyle w:val="TableText"/>
            </w:pPr>
          </w:p>
        </w:tc>
        <w:tc>
          <w:tcPr>
            <w:tcW w:w="624" w:type="dxa"/>
          </w:tcPr>
          <w:p w14:paraId="6427BF88" w14:textId="77777777" w:rsidR="00321145" w:rsidRDefault="00321145" w:rsidP="00AA324E">
            <w:pPr>
              <w:pStyle w:val="TableText"/>
            </w:pPr>
          </w:p>
        </w:tc>
        <w:tc>
          <w:tcPr>
            <w:tcW w:w="4025" w:type="dxa"/>
            <w:gridSpan w:val="2"/>
          </w:tcPr>
          <w:p w14:paraId="63EBB53F" w14:textId="77777777" w:rsidR="00321145" w:rsidRDefault="00321145" w:rsidP="00AA324E">
            <w:pPr>
              <w:pStyle w:val="TableBlock"/>
            </w:pPr>
            <w:r w:rsidRPr="00CC708C">
              <w:rPr>
                <w:rFonts w:hint="cs"/>
                <w:rtl/>
              </w:rPr>
              <w:t>(1)</w:t>
            </w:r>
            <w:r w:rsidRPr="00CC708C">
              <w:rPr>
                <w:rtl/>
              </w:rPr>
              <w:tab/>
            </w:r>
            <w:r>
              <w:rPr>
                <w:rFonts w:hint="cs"/>
                <w:rtl/>
              </w:rPr>
              <w:t xml:space="preserve">חבר אחד או שניים </w:t>
            </w:r>
            <w:r>
              <w:rPr>
                <w:rFonts w:hint="eastAsia"/>
                <w:rtl/>
              </w:rPr>
              <w:t>–</w:t>
            </w:r>
            <w:r>
              <w:rPr>
                <w:rFonts w:hint="cs"/>
                <w:rtl/>
              </w:rPr>
              <w:t xml:space="preserve"> </w:t>
            </w:r>
            <w:r w:rsidRPr="00CC708C">
              <w:rPr>
                <w:rFonts w:hint="cs"/>
                <w:rtl/>
              </w:rPr>
              <w:t>דיי</w:t>
            </w:r>
            <w:r>
              <w:rPr>
                <w:rFonts w:hint="cs"/>
                <w:rtl/>
              </w:rPr>
              <w:t>ני</w:t>
            </w:r>
            <w:r w:rsidRPr="00CC708C">
              <w:rPr>
                <w:rFonts w:hint="cs"/>
                <w:rtl/>
              </w:rPr>
              <w:t xml:space="preserve"> גיור</w:t>
            </w:r>
            <w:r>
              <w:rPr>
                <w:rFonts w:hint="cs"/>
                <w:rtl/>
              </w:rPr>
              <w:t xml:space="preserve">; </w:t>
            </w:r>
          </w:p>
        </w:tc>
      </w:tr>
      <w:tr w:rsidR="00321145" w14:paraId="007E7C62" w14:textId="77777777" w:rsidTr="00AA324E">
        <w:tblPrEx>
          <w:tblLook w:val="01E0" w:firstRow="1" w:lastRow="1" w:firstColumn="1" w:lastColumn="1" w:noHBand="0" w:noVBand="0"/>
        </w:tblPrEx>
        <w:trPr>
          <w:cantSplit/>
          <w:trHeight w:val="60"/>
        </w:trPr>
        <w:tc>
          <w:tcPr>
            <w:tcW w:w="1869" w:type="dxa"/>
          </w:tcPr>
          <w:p w14:paraId="481A4BC6" w14:textId="77777777" w:rsidR="00321145" w:rsidRDefault="00321145" w:rsidP="00AA324E">
            <w:pPr>
              <w:pStyle w:val="TableSideHeading"/>
            </w:pPr>
          </w:p>
        </w:tc>
        <w:tc>
          <w:tcPr>
            <w:tcW w:w="624" w:type="dxa"/>
          </w:tcPr>
          <w:p w14:paraId="33D9B915" w14:textId="77777777" w:rsidR="00321145" w:rsidRDefault="00321145" w:rsidP="00AA324E">
            <w:pPr>
              <w:pStyle w:val="TableText"/>
            </w:pPr>
          </w:p>
        </w:tc>
        <w:tc>
          <w:tcPr>
            <w:tcW w:w="624" w:type="dxa"/>
          </w:tcPr>
          <w:p w14:paraId="429E1F6A" w14:textId="77777777" w:rsidR="00321145" w:rsidRDefault="00321145" w:rsidP="00AA324E">
            <w:pPr>
              <w:pStyle w:val="TableText"/>
            </w:pPr>
          </w:p>
        </w:tc>
        <w:tc>
          <w:tcPr>
            <w:tcW w:w="624" w:type="dxa"/>
          </w:tcPr>
          <w:p w14:paraId="4727F59B" w14:textId="77777777" w:rsidR="00321145" w:rsidRDefault="00321145" w:rsidP="00AA324E">
            <w:pPr>
              <w:pStyle w:val="TableText"/>
            </w:pPr>
          </w:p>
        </w:tc>
        <w:tc>
          <w:tcPr>
            <w:tcW w:w="624" w:type="dxa"/>
          </w:tcPr>
          <w:p w14:paraId="63061BD0" w14:textId="77777777" w:rsidR="00321145" w:rsidRDefault="00321145" w:rsidP="00AA324E">
            <w:pPr>
              <w:pStyle w:val="TableText"/>
            </w:pPr>
          </w:p>
        </w:tc>
        <w:tc>
          <w:tcPr>
            <w:tcW w:w="624" w:type="dxa"/>
          </w:tcPr>
          <w:p w14:paraId="7C65F8F7" w14:textId="77777777" w:rsidR="00321145" w:rsidRDefault="00321145" w:rsidP="00AA324E">
            <w:pPr>
              <w:pStyle w:val="TableText"/>
            </w:pPr>
          </w:p>
        </w:tc>
        <w:tc>
          <w:tcPr>
            <w:tcW w:w="624" w:type="dxa"/>
          </w:tcPr>
          <w:p w14:paraId="6F0D05FA" w14:textId="77777777" w:rsidR="00321145" w:rsidRDefault="00321145" w:rsidP="00AA324E">
            <w:pPr>
              <w:pStyle w:val="TableText"/>
            </w:pPr>
          </w:p>
        </w:tc>
        <w:tc>
          <w:tcPr>
            <w:tcW w:w="4025" w:type="dxa"/>
            <w:gridSpan w:val="2"/>
          </w:tcPr>
          <w:p w14:paraId="61AB3789" w14:textId="77777777" w:rsidR="00321145" w:rsidRPr="00CC708C" w:rsidRDefault="00321145" w:rsidP="00AA324E">
            <w:pPr>
              <w:pStyle w:val="TableBlock"/>
              <w:rPr>
                <w:rtl/>
              </w:rPr>
            </w:pPr>
            <w:r>
              <w:rPr>
                <w:rFonts w:hint="cs"/>
                <w:rtl/>
              </w:rPr>
              <w:t>(2)</w:t>
            </w:r>
            <w:r>
              <w:rPr>
                <w:rtl/>
              </w:rPr>
              <w:tab/>
            </w:r>
            <w:r>
              <w:rPr>
                <w:rFonts w:hint="cs"/>
                <w:rtl/>
              </w:rPr>
              <w:t xml:space="preserve">חבר אחד </w:t>
            </w:r>
            <w:r>
              <w:rPr>
                <w:rFonts w:hint="eastAsia"/>
                <w:rtl/>
              </w:rPr>
              <w:t xml:space="preserve">– מי </w:t>
            </w:r>
            <w:r w:rsidRPr="00CC708C">
              <w:rPr>
                <w:rFonts w:hint="cs"/>
                <w:rtl/>
              </w:rPr>
              <w:t>שכיהן כדיין גיור</w:t>
            </w:r>
            <w:r>
              <w:rPr>
                <w:rFonts w:hint="cs"/>
                <w:rtl/>
              </w:rPr>
              <w:t xml:space="preserve"> לפני תחילתו של חוק </w:t>
            </w:r>
            <w:r w:rsidRPr="00920ADC">
              <w:rPr>
                <w:rtl/>
              </w:rPr>
              <w:t>לתיקון פקודת העדה הדתית (המרה) (</w:t>
            </w:r>
            <w:r>
              <w:rPr>
                <w:rFonts w:hint="cs"/>
                <w:rtl/>
              </w:rPr>
              <w:t xml:space="preserve">תיקון </w:t>
            </w:r>
            <w:r>
              <w:rPr>
                <w:rtl/>
              </w:rPr>
              <w:t>–</w:t>
            </w:r>
            <w:r>
              <w:rPr>
                <w:rFonts w:hint="cs"/>
                <w:rtl/>
              </w:rPr>
              <w:t xml:space="preserve"> גיור על ידי רב מקומי</w:t>
            </w:r>
            <w:r w:rsidRPr="00920ADC">
              <w:rPr>
                <w:rtl/>
              </w:rPr>
              <w:t>), התשע"</w:t>
            </w:r>
            <w:r>
              <w:rPr>
                <w:rFonts w:hint="cs"/>
                <w:rtl/>
              </w:rPr>
              <w:t>ו</w:t>
            </w:r>
            <w:r w:rsidRPr="00920ADC">
              <w:rPr>
                <w:rtl/>
              </w:rPr>
              <w:t>–201</w:t>
            </w:r>
            <w:r>
              <w:rPr>
                <w:rFonts w:hint="cs"/>
                <w:rtl/>
              </w:rPr>
              <w:t>6,</w:t>
            </w:r>
            <w:r w:rsidRPr="00CC708C">
              <w:rPr>
                <w:rFonts w:hint="cs"/>
                <w:rtl/>
              </w:rPr>
              <w:t xml:space="preserve"> או מי </w:t>
            </w:r>
            <w:r>
              <w:rPr>
                <w:rFonts w:hint="cs"/>
                <w:rtl/>
              </w:rPr>
              <w:t>ש</w:t>
            </w:r>
            <w:r w:rsidRPr="00CC708C">
              <w:rPr>
                <w:rFonts w:hint="cs"/>
                <w:rtl/>
              </w:rPr>
              <w:t>כשיר להתמנות כדיין לפי חוק הדיינים</w:t>
            </w:r>
            <w:r>
              <w:rPr>
                <w:rFonts w:hint="cs"/>
                <w:rtl/>
              </w:rPr>
              <w:t>, והם אינם חייבים במינוי לפי סעיף 9</w:t>
            </w:r>
            <w:r w:rsidRPr="00CC708C">
              <w:rPr>
                <w:rFonts w:hint="cs"/>
                <w:rtl/>
              </w:rPr>
              <w:t>;</w:t>
            </w:r>
          </w:p>
        </w:tc>
      </w:tr>
      <w:tr w:rsidR="00321145" w14:paraId="2B4AECAE" w14:textId="77777777" w:rsidTr="00AA324E">
        <w:tblPrEx>
          <w:tblLook w:val="01E0" w:firstRow="1" w:lastRow="1" w:firstColumn="1" w:lastColumn="1" w:noHBand="0" w:noVBand="0"/>
        </w:tblPrEx>
        <w:trPr>
          <w:cantSplit/>
          <w:trHeight w:val="60"/>
        </w:trPr>
        <w:tc>
          <w:tcPr>
            <w:tcW w:w="1869" w:type="dxa"/>
          </w:tcPr>
          <w:p w14:paraId="0F766783" w14:textId="77777777" w:rsidR="00321145" w:rsidRDefault="00321145" w:rsidP="00AA324E">
            <w:pPr>
              <w:pStyle w:val="TableSideHeading"/>
            </w:pPr>
          </w:p>
        </w:tc>
        <w:tc>
          <w:tcPr>
            <w:tcW w:w="624" w:type="dxa"/>
          </w:tcPr>
          <w:p w14:paraId="4C6DD100" w14:textId="77777777" w:rsidR="00321145" w:rsidRDefault="00321145" w:rsidP="00AA324E">
            <w:pPr>
              <w:pStyle w:val="TableText"/>
            </w:pPr>
          </w:p>
        </w:tc>
        <w:tc>
          <w:tcPr>
            <w:tcW w:w="624" w:type="dxa"/>
          </w:tcPr>
          <w:p w14:paraId="2BF7CC1F" w14:textId="77777777" w:rsidR="00321145" w:rsidRDefault="00321145" w:rsidP="00AA324E">
            <w:pPr>
              <w:pStyle w:val="TableText"/>
            </w:pPr>
          </w:p>
        </w:tc>
        <w:tc>
          <w:tcPr>
            <w:tcW w:w="624" w:type="dxa"/>
          </w:tcPr>
          <w:p w14:paraId="5C5E9E9F" w14:textId="77777777" w:rsidR="00321145" w:rsidRDefault="00321145" w:rsidP="00AA324E">
            <w:pPr>
              <w:pStyle w:val="TableText"/>
            </w:pPr>
          </w:p>
        </w:tc>
        <w:tc>
          <w:tcPr>
            <w:tcW w:w="624" w:type="dxa"/>
          </w:tcPr>
          <w:p w14:paraId="34F8200A" w14:textId="77777777" w:rsidR="00321145" w:rsidRDefault="00321145" w:rsidP="00AA324E">
            <w:pPr>
              <w:pStyle w:val="TableText"/>
            </w:pPr>
          </w:p>
        </w:tc>
        <w:tc>
          <w:tcPr>
            <w:tcW w:w="624" w:type="dxa"/>
          </w:tcPr>
          <w:p w14:paraId="2DF1F727" w14:textId="77777777" w:rsidR="00321145" w:rsidRDefault="00321145" w:rsidP="00AA324E">
            <w:pPr>
              <w:pStyle w:val="TableText"/>
            </w:pPr>
          </w:p>
        </w:tc>
        <w:tc>
          <w:tcPr>
            <w:tcW w:w="624" w:type="dxa"/>
          </w:tcPr>
          <w:p w14:paraId="36A34CA4" w14:textId="77777777" w:rsidR="00321145" w:rsidRPr="009D112E" w:rsidRDefault="00321145" w:rsidP="00AA324E">
            <w:pPr>
              <w:pStyle w:val="TableText"/>
            </w:pPr>
          </w:p>
        </w:tc>
        <w:tc>
          <w:tcPr>
            <w:tcW w:w="4025" w:type="dxa"/>
            <w:gridSpan w:val="2"/>
          </w:tcPr>
          <w:p w14:paraId="31BFEF45" w14:textId="77777777" w:rsidR="00321145" w:rsidRDefault="00321145" w:rsidP="00AA324E">
            <w:pPr>
              <w:pStyle w:val="TableBlock"/>
            </w:pPr>
            <w:r w:rsidRPr="00CC708C">
              <w:rPr>
                <w:rFonts w:hint="cs"/>
                <w:rtl/>
              </w:rPr>
              <w:t>(</w:t>
            </w:r>
            <w:r>
              <w:rPr>
                <w:rFonts w:hint="cs"/>
                <w:rtl/>
              </w:rPr>
              <w:t>3</w:t>
            </w:r>
            <w:r w:rsidRPr="00CC708C">
              <w:rPr>
                <w:rFonts w:hint="cs"/>
                <w:rtl/>
              </w:rPr>
              <w:t>)</w:t>
            </w:r>
            <w:r w:rsidRPr="00CC708C">
              <w:rPr>
                <w:rtl/>
              </w:rPr>
              <w:tab/>
            </w:r>
            <w:r>
              <w:rPr>
                <w:rFonts w:hint="cs"/>
                <w:rtl/>
              </w:rPr>
              <w:t>חבר אחד – מי ש</w:t>
            </w:r>
            <w:r w:rsidRPr="00CC708C">
              <w:rPr>
                <w:rFonts w:hint="cs"/>
                <w:rtl/>
              </w:rPr>
              <w:t>כשיר לכהן כדיין גיור</w:t>
            </w:r>
            <w:r>
              <w:rPr>
                <w:rFonts w:hint="cs"/>
                <w:rtl/>
              </w:rPr>
              <w:t>, והוא אינו חייב במינוי לפי סעיף 9</w:t>
            </w:r>
            <w:r w:rsidRPr="00CC708C">
              <w:rPr>
                <w:rFonts w:hint="cs"/>
                <w:rtl/>
              </w:rPr>
              <w:t>.</w:t>
            </w:r>
          </w:p>
        </w:tc>
      </w:tr>
      <w:tr w:rsidR="00321145" w:rsidRPr="00B563E8" w14:paraId="2F13F6E9" w14:textId="77777777" w:rsidTr="00AA324E">
        <w:trPr>
          <w:cantSplit/>
        </w:trPr>
        <w:tc>
          <w:tcPr>
            <w:tcW w:w="1869" w:type="dxa"/>
            <w:shd w:val="clear" w:color="auto" w:fill="auto"/>
            <w:tcMar>
              <w:top w:w="91" w:type="dxa"/>
              <w:left w:w="0" w:type="dxa"/>
              <w:bottom w:w="91" w:type="dxa"/>
              <w:right w:w="0" w:type="dxa"/>
            </w:tcMar>
          </w:tcPr>
          <w:p w14:paraId="7466950B"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1E70ABED"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3807059"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162EA9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ACE57AE"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39068A39"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4AF188A5" w14:textId="77777777" w:rsidR="00321145" w:rsidRPr="00AD7F15" w:rsidRDefault="00321145" w:rsidP="00AA324E">
            <w:pPr>
              <w:pStyle w:val="TableBlock"/>
              <w:rPr>
                <w:rtl/>
              </w:rPr>
            </w:pPr>
            <w:r w:rsidRPr="00AD7F15">
              <w:rPr>
                <w:rtl/>
              </w:rPr>
              <w:t>(</w:t>
            </w:r>
            <w:r w:rsidRPr="00AD7F15">
              <w:rPr>
                <w:rFonts w:hint="cs"/>
                <w:rtl/>
              </w:rPr>
              <w:t>ג</w:t>
            </w:r>
            <w:r w:rsidRPr="00AD7F15">
              <w:rPr>
                <w:rtl/>
              </w:rPr>
              <w:t>)</w:t>
            </w:r>
            <w:r w:rsidRPr="00AD7F15">
              <w:rPr>
                <w:rtl/>
              </w:rPr>
              <w:tab/>
              <w:t xml:space="preserve">בכל מותב של בית דין לגיור שקבע הרב הצבאי הראשי, </w:t>
            </w:r>
            <w:r w:rsidRPr="00AD7F15">
              <w:rPr>
                <w:rFonts w:hint="cs"/>
                <w:rtl/>
              </w:rPr>
              <w:t>יהיו חברים</w:t>
            </w:r>
            <w:r w:rsidRPr="00AD7F15">
              <w:rPr>
                <w:rtl/>
              </w:rPr>
              <w:t xml:space="preserve"> דיין גיור אחד שיבחר ראש מערך הגיור</w:t>
            </w:r>
            <w:r w:rsidRPr="00AD7F15">
              <w:rPr>
                <w:rFonts w:hint="cs"/>
                <w:rtl/>
              </w:rPr>
              <w:t xml:space="preserve"> או הרב הצבאי הראשי</w:t>
            </w:r>
            <w:r w:rsidRPr="00AD7F15">
              <w:rPr>
                <w:rtl/>
              </w:rPr>
              <w:t xml:space="preserve">, והוא יהיה ראש </w:t>
            </w:r>
            <w:r w:rsidRPr="00AD7F15">
              <w:rPr>
                <w:rFonts w:hint="cs"/>
                <w:rtl/>
              </w:rPr>
              <w:t>המותב</w:t>
            </w:r>
            <w:r w:rsidRPr="00AD7F15">
              <w:rPr>
                <w:rtl/>
              </w:rPr>
              <w:t>, ושני רבנים צבאיים בשירות קבע</w:t>
            </w:r>
            <w:r w:rsidRPr="00AD7F15">
              <w:rPr>
                <w:rFonts w:hint="cs"/>
                <w:rtl/>
              </w:rPr>
              <w:t>,</w:t>
            </w:r>
            <w:r w:rsidRPr="00AD7F15">
              <w:rPr>
                <w:rtl/>
              </w:rPr>
              <w:t xml:space="preserve"> בשירות מילואים </w:t>
            </w:r>
            <w:r w:rsidRPr="00AD7F15">
              <w:rPr>
                <w:rFonts w:hint="cs"/>
                <w:rtl/>
              </w:rPr>
              <w:t xml:space="preserve">או בדימוס </w:t>
            </w:r>
            <w:r w:rsidRPr="00AD7F15">
              <w:rPr>
                <w:rtl/>
              </w:rPr>
              <w:t>שיבחר הרב הצבאי הראשי, ובלבד שהם דייני גיור או כשירים לכהן ככאלה.</w:t>
            </w:r>
          </w:p>
        </w:tc>
      </w:tr>
      <w:tr w:rsidR="00321145" w:rsidRPr="00B563E8" w14:paraId="7D9724D3" w14:textId="77777777" w:rsidTr="00AA324E">
        <w:trPr>
          <w:cantSplit/>
        </w:trPr>
        <w:tc>
          <w:tcPr>
            <w:tcW w:w="1869" w:type="dxa"/>
            <w:shd w:val="clear" w:color="auto" w:fill="auto"/>
            <w:tcMar>
              <w:top w:w="91" w:type="dxa"/>
              <w:left w:w="0" w:type="dxa"/>
              <w:bottom w:w="91" w:type="dxa"/>
              <w:right w:w="0" w:type="dxa"/>
            </w:tcMar>
          </w:tcPr>
          <w:p w14:paraId="2BF421BC"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4FBF0203"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DBD0953"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081BA600"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7BBF065"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002147A" w14:textId="77777777" w:rsidR="00321145" w:rsidRPr="00B64481"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1AD87898" w14:textId="77777777" w:rsidR="00321145" w:rsidRPr="00AD7F15" w:rsidRDefault="00321145" w:rsidP="00AA324E">
            <w:pPr>
              <w:pStyle w:val="TableBlock"/>
              <w:rPr>
                <w:rtl/>
              </w:rPr>
            </w:pPr>
            <w:r w:rsidRPr="00AD7F15">
              <w:rPr>
                <w:rtl/>
              </w:rPr>
              <w:t>(</w:t>
            </w:r>
            <w:r w:rsidRPr="00AD7F15">
              <w:rPr>
                <w:rFonts w:hint="cs"/>
                <w:rtl/>
              </w:rPr>
              <w:t>ד</w:t>
            </w:r>
            <w:r w:rsidRPr="00AD7F15">
              <w:rPr>
                <w:rtl/>
              </w:rPr>
              <w:t>)</w:t>
            </w:r>
            <w:r w:rsidRPr="00AD7F15">
              <w:rPr>
                <w:rtl/>
              </w:rPr>
              <w:tab/>
            </w:r>
            <w:r w:rsidRPr="00AD7F15">
              <w:rPr>
                <w:rFonts w:hint="cs"/>
                <w:rtl/>
              </w:rPr>
              <w:t>לא יהיה חבר</w:t>
            </w:r>
            <w:r w:rsidRPr="00AD7F15">
              <w:rPr>
                <w:rtl/>
              </w:rPr>
              <w:t xml:space="preserve"> </w:t>
            </w:r>
            <w:r w:rsidRPr="00AD7F15">
              <w:rPr>
                <w:rFonts w:hint="cs"/>
                <w:rtl/>
              </w:rPr>
              <w:t>במותב בית דין לגיור מי ש</w:t>
            </w:r>
            <w:r w:rsidRPr="00AD7F15">
              <w:rPr>
                <w:rtl/>
              </w:rPr>
              <w:t>עלול להימצא, במישרין או בעקיפין, במצב של ניגוד עניינים בשל עניין אישי או בשל סיבה אחרת.</w:t>
            </w:r>
          </w:p>
        </w:tc>
      </w:tr>
      <w:tr w:rsidR="00321145" w14:paraId="16DC2103" w14:textId="77777777" w:rsidTr="00AA324E">
        <w:tblPrEx>
          <w:tblLook w:val="01E0" w:firstRow="1" w:lastRow="1" w:firstColumn="1" w:lastColumn="1" w:noHBand="0" w:noVBand="0"/>
        </w:tblPrEx>
        <w:trPr>
          <w:cantSplit/>
          <w:trHeight w:val="60"/>
        </w:trPr>
        <w:tc>
          <w:tcPr>
            <w:tcW w:w="1869" w:type="dxa"/>
          </w:tcPr>
          <w:p w14:paraId="2A6CA90A" w14:textId="77777777" w:rsidR="00321145" w:rsidRDefault="00321145" w:rsidP="00AA324E">
            <w:pPr>
              <w:pStyle w:val="TableSideHeading"/>
              <w:keepLines w:val="0"/>
            </w:pPr>
          </w:p>
        </w:tc>
        <w:tc>
          <w:tcPr>
            <w:tcW w:w="624" w:type="dxa"/>
          </w:tcPr>
          <w:p w14:paraId="259DBE2D" w14:textId="77777777" w:rsidR="00321145" w:rsidRDefault="00321145" w:rsidP="00AA324E">
            <w:pPr>
              <w:pStyle w:val="TableText"/>
              <w:keepLines w:val="0"/>
            </w:pPr>
          </w:p>
        </w:tc>
        <w:tc>
          <w:tcPr>
            <w:tcW w:w="1872" w:type="dxa"/>
            <w:gridSpan w:val="3"/>
          </w:tcPr>
          <w:p w14:paraId="2F957A26" w14:textId="77777777" w:rsidR="00321145" w:rsidRDefault="00321145" w:rsidP="00AA324E">
            <w:pPr>
              <w:pStyle w:val="TableInnerSideHeading"/>
            </w:pPr>
            <w:r>
              <w:rPr>
                <w:rFonts w:hint="cs"/>
                <w:rtl/>
              </w:rPr>
              <w:t>דין משמעתי לחברים מסוימים בבית דין לגיור</w:t>
            </w:r>
          </w:p>
        </w:tc>
        <w:tc>
          <w:tcPr>
            <w:tcW w:w="624" w:type="dxa"/>
          </w:tcPr>
          <w:p w14:paraId="147BC751" w14:textId="77777777" w:rsidR="00321145" w:rsidRDefault="00321145" w:rsidP="00AA324E">
            <w:pPr>
              <w:pStyle w:val="TableText"/>
            </w:pPr>
            <w:r>
              <w:rPr>
                <w:rFonts w:hint="cs"/>
                <w:rtl/>
              </w:rPr>
              <w:t>13.</w:t>
            </w:r>
          </w:p>
        </w:tc>
        <w:tc>
          <w:tcPr>
            <w:tcW w:w="4649" w:type="dxa"/>
            <w:gridSpan w:val="3"/>
          </w:tcPr>
          <w:p w14:paraId="6B9A3B26" w14:textId="77777777" w:rsidR="00321145" w:rsidRPr="00AD7F15" w:rsidRDefault="00321145" w:rsidP="00AA324E">
            <w:pPr>
              <w:pStyle w:val="TableBlock"/>
            </w:pPr>
            <w:r w:rsidRPr="00AD7F15">
              <w:rPr>
                <w:rtl/>
              </w:rPr>
              <w:t>(</w:t>
            </w:r>
            <w:r w:rsidRPr="00AD7F15">
              <w:rPr>
                <w:rFonts w:hint="cs"/>
                <w:rtl/>
              </w:rPr>
              <w:t>א</w:t>
            </w:r>
            <w:r w:rsidRPr="00AD7F15">
              <w:rPr>
                <w:rtl/>
              </w:rPr>
              <w:t>)</w:t>
            </w:r>
            <w:r w:rsidRPr="00AD7F15">
              <w:rPr>
                <w:rFonts w:hint="cs"/>
                <w:rtl/>
              </w:rPr>
              <w:tab/>
              <w:t>השר יקבע הרכב של בית דין משמעתי שישפוט בעבירות משמעת של חברי בית דין לגיור כאמור בסעיף 12(ב)(2) ו-(3) ורבנים צבאיים בדימוס כאמור בסעיף 12(ג).</w:t>
            </w:r>
          </w:p>
        </w:tc>
      </w:tr>
      <w:tr w:rsidR="00321145" w14:paraId="17040B2E" w14:textId="77777777" w:rsidTr="00AA324E">
        <w:tblPrEx>
          <w:tblLook w:val="01E0" w:firstRow="1" w:lastRow="1" w:firstColumn="1" w:lastColumn="1" w:noHBand="0" w:noVBand="0"/>
        </w:tblPrEx>
        <w:trPr>
          <w:cantSplit/>
          <w:trHeight w:val="60"/>
        </w:trPr>
        <w:tc>
          <w:tcPr>
            <w:tcW w:w="1869" w:type="dxa"/>
          </w:tcPr>
          <w:p w14:paraId="15EB1B7A" w14:textId="77777777" w:rsidR="00321145" w:rsidRDefault="00321145" w:rsidP="00AA324E">
            <w:pPr>
              <w:pStyle w:val="TableSideHeading"/>
            </w:pPr>
          </w:p>
        </w:tc>
        <w:tc>
          <w:tcPr>
            <w:tcW w:w="624" w:type="dxa"/>
          </w:tcPr>
          <w:p w14:paraId="7789D150" w14:textId="77777777" w:rsidR="00321145" w:rsidRDefault="00321145" w:rsidP="00AA324E">
            <w:pPr>
              <w:pStyle w:val="TableText"/>
            </w:pPr>
          </w:p>
        </w:tc>
        <w:tc>
          <w:tcPr>
            <w:tcW w:w="624" w:type="dxa"/>
          </w:tcPr>
          <w:p w14:paraId="7D2FDA87" w14:textId="77777777" w:rsidR="00321145" w:rsidRDefault="00321145" w:rsidP="00AA324E">
            <w:pPr>
              <w:pStyle w:val="TableText"/>
            </w:pPr>
          </w:p>
        </w:tc>
        <w:tc>
          <w:tcPr>
            <w:tcW w:w="624" w:type="dxa"/>
          </w:tcPr>
          <w:p w14:paraId="2FDF5F9C" w14:textId="77777777" w:rsidR="00321145" w:rsidRDefault="00321145" w:rsidP="00AA324E">
            <w:pPr>
              <w:pStyle w:val="TableText"/>
            </w:pPr>
          </w:p>
        </w:tc>
        <w:tc>
          <w:tcPr>
            <w:tcW w:w="624" w:type="dxa"/>
          </w:tcPr>
          <w:p w14:paraId="2763B32C" w14:textId="77777777" w:rsidR="00321145" w:rsidRDefault="00321145" w:rsidP="00AA324E">
            <w:pPr>
              <w:pStyle w:val="TableText"/>
            </w:pPr>
          </w:p>
        </w:tc>
        <w:tc>
          <w:tcPr>
            <w:tcW w:w="624" w:type="dxa"/>
          </w:tcPr>
          <w:p w14:paraId="36DD6E1C" w14:textId="77777777" w:rsidR="00321145" w:rsidRDefault="00321145" w:rsidP="00AA324E">
            <w:pPr>
              <w:pStyle w:val="TableText"/>
            </w:pPr>
          </w:p>
        </w:tc>
        <w:tc>
          <w:tcPr>
            <w:tcW w:w="4649" w:type="dxa"/>
            <w:gridSpan w:val="3"/>
          </w:tcPr>
          <w:p w14:paraId="67D5FAD1" w14:textId="77777777" w:rsidR="00321145" w:rsidRPr="00AD7F15" w:rsidRDefault="00321145" w:rsidP="00AA324E">
            <w:pPr>
              <w:pStyle w:val="TableBlock"/>
            </w:pPr>
            <w:r w:rsidRPr="00AD7F15">
              <w:rPr>
                <w:rFonts w:hint="cs"/>
                <w:rtl/>
              </w:rPr>
              <w:t>(ב)</w:t>
            </w:r>
            <w:r w:rsidRPr="00AD7F15">
              <w:rPr>
                <w:rtl/>
              </w:rPr>
              <w:tab/>
            </w:r>
            <w:r w:rsidRPr="00AD7F15">
              <w:rPr>
                <w:rFonts w:hint="cs"/>
                <w:rtl/>
              </w:rPr>
              <w:t>חבר בית דין לגיור כאמור בסעיף קטן (א) שעשה אחת מאלה עבר עבירת משמעת:</w:t>
            </w:r>
          </w:p>
        </w:tc>
      </w:tr>
      <w:tr w:rsidR="00321145" w14:paraId="3AD9967A" w14:textId="77777777" w:rsidTr="00AA324E">
        <w:tblPrEx>
          <w:tblLook w:val="01E0" w:firstRow="1" w:lastRow="1" w:firstColumn="1" w:lastColumn="1" w:noHBand="0" w:noVBand="0"/>
        </w:tblPrEx>
        <w:trPr>
          <w:cantSplit/>
          <w:trHeight w:val="60"/>
        </w:trPr>
        <w:tc>
          <w:tcPr>
            <w:tcW w:w="1869" w:type="dxa"/>
          </w:tcPr>
          <w:p w14:paraId="112DA2BB" w14:textId="77777777" w:rsidR="00321145" w:rsidRDefault="00321145" w:rsidP="00AA324E">
            <w:pPr>
              <w:pStyle w:val="TableSideHeading"/>
            </w:pPr>
          </w:p>
        </w:tc>
        <w:tc>
          <w:tcPr>
            <w:tcW w:w="624" w:type="dxa"/>
          </w:tcPr>
          <w:p w14:paraId="1EC88A32" w14:textId="77777777" w:rsidR="00321145" w:rsidRDefault="00321145" w:rsidP="00AA324E">
            <w:pPr>
              <w:pStyle w:val="TableText"/>
            </w:pPr>
          </w:p>
        </w:tc>
        <w:tc>
          <w:tcPr>
            <w:tcW w:w="624" w:type="dxa"/>
          </w:tcPr>
          <w:p w14:paraId="0E6A64BA" w14:textId="77777777" w:rsidR="00321145" w:rsidRDefault="00321145" w:rsidP="00AA324E">
            <w:pPr>
              <w:pStyle w:val="TableText"/>
            </w:pPr>
          </w:p>
        </w:tc>
        <w:tc>
          <w:tcPr>
            <w:tcW w:w="624" w:type="dxa"/>
          </w:tcPr>
          <w:p w14:paraId="22A6EEC4" w14:textId="77777777" w:rsidR="00321145" w:rsidRDefault="00321145" w:rsidP="00AA324E">
            <w:pPr>
              <w:pStyle w:val="TableText"/>
            </w:pPr>
          </w:p>
        </w:tc>
        <w:tc>
          <w:tcPr>
            <w:tcW w:w="624" w:type="dxa"/>
          </w:tcPr>
          <w:p w14:paraId="79229BB5" w14:textId="77777777" w:rsidR="00321145" w:rsidRDefault="00321145" w:rsidP="00AA324E">
            <w:pPr>
              <w:pStyle w:val="TableText"/>
            </w:pPr>
          </w:p>
        </w:tc>
        <w:tc>
          <w:tcPr>
            <w:tcW w:w="624" w:type="dxa"/>
          </w:tcPr>
          <w:p w14:paraId="3FBC6C09" w14:textId="77777777" w:rsidR="00321145" w:rsidRDefault="00321145" w:rsidP="00AA324E">
            <w:pPr>
              <w:pStyle w:val="TableText"/>
            </w:pPr>
          </w:p>
        </w:tc>
        <w:tc>
          <w:tcPr>
            <w:tcW w:w="624" w:type="dxa"/>
          </w:tcPr>
          <w:p w14:paraId="3A8963B8" w14:textId="77777777" w:rsidR="00321145" w:rsidRDefault="00321145" w:rsidP="00AA324E">
            <w:pPr>
              <w:pStyle w:val="TableText"/>
            </w:pPr>
          </w:p>
        </w:tc>
        <w:tc>
          <w:tcPr>
            <w:tcW w:w="4025" w:type="dxa"/>
            <w:gridSpan w:val="2"/>
          </w:tcPr>
          <w:p w14:paraId="43C36A80" w14:textId="77777777" w:rsidR="00321145" w:rsidRPr="007B1AD3" w:rsidRDefault="00321145" w:rsidP="00AA324E">
            <w:pPr>
              <w:pStyle w:val="TableBlock"/>
            </w:pPr>
            <w:r w:rsidRPr="007B1AD3">
              <w:rPr>
                <w:rFonts w:hint="cs"/>
                <w:rtl/>
              </w:rPr>
              <w:t>(1)</w:t>
            </w:r>
            <w:r w:rsidRPr="007B1AD3">
              <w:rPr>
                <w:rtl/>
              </w:rPr>
              <w:tab/>
            </w:r>
            <w:r w:rsidRPr="007B1AD3">
              <w:rPr>
                <w:rFonts w:hint="cs"/>
                <w:rtl/>
              </w:rPr>
              <w:t>נהג שלא כדין במילוי תפקידו;</w:t>
            </w:r>
          </w:p>
        </w:tc>
      </w:tr>
      <w:tr w:rsidR="00321145" w:rsidRPr="00FE21D1" w14:paraId="0836096C" w14:textId="77777777" w:rsidTr="00AA324E">
        <w:tblPrEx>
          <w:tblLook w:val="01E0" w:firstRow="1" w:lastRow="1" w:firstColumn="1" w:lastColumn="1" w:noHBand="0" w:noVBand="0"/>
        </w:tblPrEx>
        <w:trPr>
          <w:cantSplit/>
          <w:trHeight w:val="60"/>
        </w:trPr>
        <w:tc>
          <w:tcPr>
            <w:tcW w:w="1869" w:type="dxa"/>
          </w:tcPr>
          <w:p w14:paraId="486EA854" w14:textId="77777777" w:rsidR="00321145" w:rsidRDefault="00321145" w:rsidP="00AA324E">
            <w:pPr>
              <w:pStyle w:val="TableSideHeading"/>
            </w:pPr>
          </w:p>
        </w:tc>
        <w:tc>
          <w:tcPr>
            <w:tcW w:w="624" w:type="dxa"/>
          </w:tcPr>
          <w:p w14:paraId="583C6878" w14:textId="77777777" w:rsidR="00321145" w:rsidRDefault="00321145" w:rsidP="00AA324E">
            <w:pPr>
              <w:pStyle w:val="TableText"/>
            </w:pPr>
          </w:p>
        </w:tc>
        <w:tc>
          <w:tcPr>
            <w:tcW w:w="624" w:type="dxa"/>
          </w:tcPr>
          <w:p w14:paraId="2080A826" w14:textId="77777777" w:rsidR="00321145" w:rsidRDefault="00321145" w:rsidP="00AA324E">
            <w:pPr>
              <w:pStyle w:val="TableText"/>
            </w:pPr>
          </w:p>
        </w:tc>
        <w:tc>
          <w:tcPr>
            <w:tcW w:w="624" w:type="dxa"/>
          </w:tcPr>
          <w:p w14:paraId="02BF8A82" w14:textId="77777777" w:rsidR="00321145" w:rsidRDefault="00321145" w:rsidP="00AA324E">
            <w:pPr>
              <w:pStyle w:val="TableText"/>
            </w:pPr>
          </w:p>
        </w:tc>
        <w:tc>
          <w:tcPr>
            <w:tcW w:w="624" w:type="dxa"/>
          </w:tcPr>
          <w:p w14:paraId="09314265" w14:textId="77777777" w:rsidR="00321145" w:rsidRDefault="00321145" w:rsidP="00AA324E">
            <w:pPr>
              <w:pStyle w:val="TableText"/>
            </w:pPr>
          </w:p>
        </w:tc>
        <w:tc>
          <w:tcPr>
            <w:tcW w:w="624" w:type="dxa"/>
          </w:tcPr>
          <w:p w14:paraId="41CCD3C4" w14:textId="77777777" w:rsidR="00321145" w:rsidRDefault="00321145" w:rsidP="00AA324E">
            <w:pPr>
              <w:pStyle w:val="TableText"/>
            </w:pPr>
          </w:p>
        </w:tc>
        <w:tc>
          <w:tcPr>
            <w:tcW w:w="624" w:type="dxa"/>
          </w:tcPr>
          <w:p w14:paraId="69E4E414" w14:textId="77777777" w:rsidR="00321145" w:rsidRDefault="00321145" w:rsidP="00AA324E">
            <w:pPr>
              <w:pStyle w:val="TableText"/>
            </w:pPr>
          </w:p>
        </w:tc>
        <w:tc>
          <w:tcPr>
            <w:tcW w:w="4025" w:type="dxa"/>
            <w:gridSpan w:val="2"/>
          </w:tcPr>
          <w:p w14:paraId="0D0EB4AD" w14:textId="4F3CDC3A" w:rsidR="00321145" w:rsidRPr="007B1AD3" w:rsidRDefault="00321145" w:rsidP="00376397">
            <w:pPr>
              <w:pStyle w:val="TableBlock"/>
            </w:pPr>
            <w:r w:rsidRPr="007B1AD3">
              <w:rPr>
                <w:rFonts w:hint="cs"/>
                <w:rtl/>
              </w:rPr>
              <w:t>(2)</w:t>
            </w:r>
            <w:r w:rsidRPr="007B1AD3">
              <w:rPr>
                <w:rtl/>
              </w:rPr>
              <w:tab/>
            </w:r>
            <w:r w:rsidRPr="007B1AD3">
              <w:rPr>
                <w:rFonts w:hint="eastAsia"/>
                <w:rtl/>
              </w:rPr>
              <w:t>הורשע</w:t>
            </w:r>
            <w:r w:rsidRPr="007B1AD3">
              <w:rPr>
                <w:rtl/>
              </w:rPr>
              <w:t xml:space="preserve"> </w:t>
            </w:r>
            <w:r w:rsidRPr="007B1AD3">
              <w:rPr>
                <w:rFonts w:hint="eastAsia"/>
                <w:rtl/>
              </w:rPr>
              <w:t>ב</w:t>
            </w:r>
            <w:r w:rsidRPr="007B1AD3">
              <w:rPr>
                <w:rFonts w:hint="cs"/>
                <w:rtl/>
              </w:rPr>
              <w:t xml:space="preserve">עבירה </w:t>
            </w:r>
            <w:r w:rsidRPr="007B1AD3">
              <w:rPr>
                <w:rFonts w:hint="eastAsia"/>
                <w:rtl/>
              </w:rPr>
              <w:t>פלילית</w:t>
            </w:r>
            <w:r w:rsidRPr="007B1AD3">
              <w:rPr>
                <w:rFonts w:hint="cs"/>
                <w:rtl/>
              </w:rPr>
              <w:t xml:space="preserve"> שמפאת מהותה, חומרתה או נסיבות</w:t>
            </w:r>
            <w:r>
              <w:rPr>
                <w:rFonts w:hint="cs"/>
                <w:rtl/>
              </w:rPr>
              <w:t>י</w:t>
            </w:r>
            <w:r w:rsidRPr="007B1AD3">
              <w:rPr>
                <w:rFonts w:hint="cs"/>
                <w:rtl/>
              </w:rPr>
              <w:t>ה אין הוא ראוי לכהן כחבר בית דין לגיור</w:t>
            </w:r>
            <w:r w:rsidR="00376397">
              <w:rPr>
                <w:rFonts w:hint="cs"/>
                <w:rtl/>
              </w:rPr>
              <w:t>.</w:t>
            </w:r>
          </w:p>
        </w:tc>
      </w:tr>
      <w:tr w:rsidR="00321145" w:rsidRPr="00FE21D1" w14:paraId="32318EE1" w14:textId="77777777" w:rsidTr="00AA324E">
        <w:tblPrEx>
          <w:tblLook w:val="01E0" w:firstRow="1" w:lastRow="1" w:firstColumn="1" w:lastColumn="1" w:noHBand="0" w:noVBand="0"/>
        </w:tblPrEx>
        <w:trPr>
          <w:cantSplit/>
          <w:trHeight w:val="60"/>
        </w:trPr>
        <w:tc>
          <w:tcPr>
            <w:tcW w:w="1869" w:type="dxa"/>
          </w:tcPr>
          <w:p w14:paraId="1C142D08" w14:textId="77777777" w:rsidR="00321145" w:rsidRDefault="00321145" w:rsidP="00AA324E">
            <w:pPr>
              <w:pStyle w:val="TableSideHeading"/>
            </w:pPr>
          </w:p>
        </w:tc>
        <w:tc>
          <w:tcPr>
            <w:tcW w:w="624" w:type="dxa"/>
          </w:tcPr>
          <w:p w14:paraId="4D10599B" w14:textId="77777777" w:rsidR="00321145" w:rsidRDefault="00321145" w:rsidP="00AA324E">
            <w:pPr>
              <w:pStyle w:val="TableText"/>
            </w:pPr>
          </w:p>
        </w:tc>
        <w:tc>
          <w:tcPr>
            <w:tcW w:w="624" w:type="dxa"/>
          </w:tcPr>
          <w:p w14:paraId="074A7703" w14:textId="77777777" w:rsidR="00321145" w:rsidRDefault="00321145" w:rsidP="00AA324E">
            <w:pPr>
              <w:pStyle w:val="TableText"/>
            </w:pPr>
          </w:p>
        </w:tc>
        <w:tc>
          <w:tcPr>
            <w:tcW w:w="624" w:type="dxa"/>
          </w:tcPr>
          <w:p w14:paraId="4EC4708D" w14:textId="77777777" w:rsidR="00321145" w:rsidRDefault="00321145" w:rsidP="00AA324E">
            <w:pPr>
              <w:pStyle w:val="TableText"/>
            </w:pPr>
          </w:p>
        </w:tc>
        <w:tc>
          <w:tcPr>
            <w:tcW w:w="624" w:type="dxa"/>
          </w:tcPr>
          <w:p w14:paraId="611EAF7B" w14:textId="77777777" w:rsidR="00321145" w:rsidRDefault="00321145" w:rsidP="00AA324E">
            <w:pPr>
              <w:pStyle w:val="TableText"/>
            </w:pPr>
          </w:p>
        </w:tc>
        <w:tc>
          <w:tcPr>
            <w:tcW w:w="624" w:type="dxa"/>
          </w:tcPr>
          <w:p w14:paraId="713EEEDA" w14:textId="77777777" w:rsidR="00321145" w:rsidRDefault="00321145" w:rsidP="00AA324E">
            <w:pPr>
              <w:pStyle w:val="TableText"/>
            </w:pPr>
          </w:p>
        </w:tc>
        <w:tc>
          <w:tcPr>
            <w:tcW w:w="4649" w:type="dxa"/>
            <w:gridSpan w:val="3"/>
          </w:tcPr>
          <w:p w14:paraId="165E13FD" w14:textId="2A57F5D7" w:rsidR="00321145" w:rsidRPr="00FE21D1" w:rsidRDefault="00321145" w:rsidP="00376397">
            <w:pPr>
              <w:pStyle w:val="TableBlock"/>
            </w:pPr>
            <w:r>
              <w:rPr>
                <w:rFonts w:hint="cs"/>
                <w:rtl/>
              </w:rPr>
              <w:t>(ג)</w:t>
            </w:r>
            <w:r>
              <w:rPr>
                <w:rtl/>
              </w:rPr>
              <w:tab/>
            </w:r>
            <w:r>
              <w:rPr>
                <w:rFonts w:hint="cs"/>
                <w:rtl/>
              </w:rPr>
              <w:t>קבע בית הדין המשמעתי שהוקם לפי סעיף קטן (א) כי חבר בית דין לגיור אינו ראוי לכהן במותב בית דין לגיור מפאת עבירת משמעת שעבר, תיפסק כהונתו במותב בית הדין לגיור.</w:t>
            </w:r>
          </w:p>
        </w:tc>
      </w:tr>
      <w:tr w:rsidR="00321145" w14:paraId="49017B8A" w14:textId="77777777" w:rsidTr="00AA324E">
        <w:tblPrEx>
          <w:tblLook w:val="01E0" w:firstRow="1" w:lastRow="1" w:firstColumn="1" w:lastColumn="1" w:noHBand="0" w:noVBand="0"/>
        </w:tblPrEx>
        <w:trPr>
          <w:cantSplit/>
          <w:trHeight w:val="60"/>
        </w:trPr>
        <w:tc>
          <w:tcPr>
            <w:tcW w:w="1869" w:type="dxa"/>
          </w:tcPr>
          <w:p w14:paraId="32430988" w14:textId="77777777" w:rsidR="00321145" w:rsidRDefault="00321145" w:rsidP="00AA324E">
            <w:pPr>
              <w:pStyle w:val="TableSideHeading"/>
              <w:keepLines w:val="0"/>
            </w:pPr>
          </w:p>
        </w:tc>
        <w:tc>
          <w:tcPr>
            <w:tcW w:w="624" w:type="dxa"/>
          </w:tcPr>
          <w:p w14:paraId="50D17E4C" w14:textId="77777777" w:rsidR="00321145" w:rsidRDefault="00321145" w:rsidP="00AA324E">
            <w:pPr>
              <w:pStyle w:val="TableText"/>
              <w:keepLines w:val="0"/>
            </w:pPr>
          </w:p>
        </w:tc>
        <w:tc>
          <w:tcPr>
            <w:tcW w:w="1872" w:type="dxa"/>
            <w:gridSpan w:val="3"/>
          </w:tcPr>
          <w:p w14:paraId="0FE705ED" w14:textId="77777777" w:rsidR="00321145" w:rsidRPr="001C0D8B" w:rsidRDefault="00321145" w:rsidP="00AA324E">
            <w:pPr>
              <w:pStyle w:val="TableInnerSideHeading"/>
            </w:pPr>
            <w:r w:rsidRPr="00CC708C">
              <w:rPr>
                <w:rFonts w:hint="cs"/>
                <w:rtl/>
              </w:rPr>
              <w:t>הליך הגיור</w:t>
            </w:r>
          </w:p>
        </w:tc>
        <w:tc>
          <w:tcPr>
            <w:tcW w:w="624" w:type="dxa"/>
          </w:tcPr>
          <w:p w14:paraId="2CDB002F" w14:textId="77777777" w:rsidR="00321145" w:rsidRDefault="00321145" w:rsidP="00AA324E">
            <w:pPr>
              <w:pStyle w:val="TableText"/>
            </w:pPr>
            <w:r>
              <w:rPr>
                <w:rFonts w:hint="cs"/>
                <w:rtl/>
              </w:rPr>
              <w:t>14</w:t>
            </w:r>
            <w:r w:rsidRPr="00CC708C">
              <w:rPr>
                <w:rFonts w:hint="cs"/>
                <w:rtl/>
              </w:rPr>
              <w:t>.</w:t>
            </w:r>
          </w:p>
        </w:tc>
        <w:tc>
          <w:tcPr>
            <w:tcW w:w="4649" w:type="dxa"/>
            <w:gridSpan w:val="3"/>
          </w:tcPr>
          <w:p w14:paraId="68A2CF8E" w14:textId="77777777" w:rsidR="00321145" w:rsidRDefault="00321145" w:rsidP="00AA324E">
            <w:pPr>
              <w:pStyle w:val="TableBlock"/>
            </w:pPr>
            <w:r w:rsidRPr="00CC708C">
              <w:rPr>
                <w:rFonts w:hint="cs"/>
                <w:rtl/>
              </w:rPr>
              <w:t>(א)</w:t>
            </w:r>
            <w:r w:rsidRPr="00CC708C">
              <w:rPr>
                <w:rtl/>
              </w:rPr>
              <w:tab/>
            </w:r>
            <w:r w:rsidRPr="00CC708C">
              <w:rPr>
                <w:rFonts w:hint="cs"/>
                <w:rtl/>
              </w:rPr>
              <w:t>אדם המבקש לעבור הליך של גיור (</w:t>
            </w:r>
            <w:r>
              <w:rPr>
                <w:rFonts w:hint="cs"/>
                <w:rtl/>
              </w:rPr>
              <w:t>בפרק זה</w:t>
            </w:r>
            <w:r w:rsidRPr="00CC708C">
              <w:rPr>
                <w:rFonts w:hint="cs"/>
                <w:rtl/>
              </w:rPr>
              <w:t xml:space="preserve"> </w:t>
            </w:r>
            <w:r w:rsidRPr="00CC708C">
              <w:rPr>
                <w:rtl/>
              </w:rPr>
              <w:t>–</w:t>
            </w:r>
            <w:r w:rsidRPr="00CC708C">
              <w:rPr>
                <w:rFonts w:hint="cs"/>
                <w:rtl/>
              </w:rPr>
              <w:t xml:space="preserve"> מתגייר) רשאי לבחור את בית הדין לגיור שבפניו יעבור את ההליך, ללא קשר למקום מגוריו.</w:t>
            </w:r>
            <w:r w:rsidRPr="00CC708C">
              <w:rPr>
                <w:rFonts w:hint="cs"/>
                <w:sz w:val="18"/>
                <w:szCs w:val="24"/>
                <w:u w:val="single"/>
                <w:rtl/>
              </w:rPr>
              <w:t xml:space="preserve"> </w:t>
            </w:r>
          </w:p>
        </w:tc>
      </w:tr>
      <w:tr w:rsidR="00321145" w14:paraId="316E6771" w14:textId="77777777" w:rsidTr="00AA324E">
        <w:tblPrEx>
          <w:tblLook w:val="01E0" w:firstRow="1" w:lastRow="1" w:firstColumn="1" w:lastColumn="1" w:noHBand="0" w:noVBand="0"/>
        </w:tblPrEx>
        <w:trPr>
          <w:cantSplit/>
          <w:trHeight w:val="60"/>
        </w:trPr>
        <w:tc>
          <w:tcPr>
            <w:tcW w:w="1869" w:type="dxa"/>
          </w:tcPr>
          <w:p w14:paraId="58ED27C3" w14:textId="77777777" w:rsidR="00321145" w:rsidRDefault="00321145" w:rsidP="00AA324E">
            <w:pPr>
              <w:pStyle w:val="TableSideHeading"/>
            </w:pPr>
          </w:p>
        </w:tc>
        <w:tc>
          <w:tcPr>
            <w:tcW w:w="624" w:type="dxa"/>
          </w:tcPr>
          <w:p w14:paraId="1D1B3A62" w14:textId="77777777" w:rsidR="00321145" w:rsidRDefault="00321145" w:rsidP="00AA324E">
            <w:pPr>
              <w:pStyle w:val="TableText"/>
            </w:pPr>
          </w:p>
        </w:tc>
        <w:tc>
          <w:tcPr>
            <w:tcW w:w="624" w:type="dxa"/>
          </w:tcPr>
          <w:p w14:paraId="389B9393" w14:textId="77777777" w:rsidR="00321145" w:rsidRDefault="00321145" w:rsidP="00AA324E">
            <w:pPr>
              <w:pStyle w:val="TableText"/>
            </w:pPr>
          </w:p>
        </w:tc>
        <w:tc>
          <w:tcPr>
            <w:tcW w:w="624" w:type="dxa"/>
          </w:tcPr>
          <w:p w14:paraId="43793D4D" w14:textId="77777777" w:rsidR="00321145" w:rsidRDefault="00321145" w:rsidP="00AA324E">
            <w:pPr>
              <w:pStyle w:val="TableText"/>
            </w:pPr>
          </w:p>
        </w:tc>
        <w:tc>
          <w:tcPr>
            <w:tcW w:w="624" w:type="dxa"/>
          </w:tcPr>
          <w:p w14:paraId="1D319714" w14:textId="77777777" w:rsidR="00321145" w:rsidRDefault="00321145" w:rsidP="00AA324E">
            <w:pPr>
              <w:pStyle w:val="TableText"/>
            </w:pPr>
          </w:p>
        </w:tc>
        <w:tc>
          <w:tcPr>
            <w:tcW w:w="624" w:type="dxa"/>
          </w:tcPr>
          <w:p w14:paraId="127DA785" w14:textId="77777777" w:rsidR="00321145" w:rsidRDefault="00321145" w:rsidP="00AA324E">
            <w:pPr>
              <w:pStyle w:val="TableText"/>
            </w:pPr>
          </w:p>
        </w:tc>
        <w:tc>
          <w:tcPr>
            <w:tcW w:w="4649" w:type="dxa"/>
            <w:gridSpan w:val="3"/>
          </w:tcPr>
          <w:p w14:paraId="79905734" w14:textId="77777777" w:rsidR="00321145" w:rsidRDefault="00321145" w:rsidP="00AA324E">
            <w:pPr>
              <w:pStyle w:val="TableBlock"/>
            </w:pPr>
            <w:r>
              <w:rPr>
                <w:rFonts w:hint="cs"/>
                <w:rtl/>
              </w:rPr>
              <w:t>(ב)</w:t>
            </w:r>
            <w:r>
              <w:rPr>
                <w:rtl/>
              </w:rPr>
              <w:tab/>
            </w:r>
            <w:r w:rsidRPr="00CC708C">
              <w:rPr>
                <w:rFonts w:hint="cs"/>
                <w:rtl/>
              </w:rPr>
              <w:t xml:space="preserve">החלטת בית הדין </w:t>
            </w:r>
            <w:r>
              <w:rPr>
                <w:rFonts w:hint="cs"/>
                <w:rtl/>
              </w:rPr>
              <w:t xml:space="preserve">לגיור </w:t>
            </w:r>
            <w:r w:rsidRPr="00CC708C">
              <w:rPr>
                <w:rFonts w:hint="cs"/>
                <w:rtl/>
              </w:rPr>
              <w:t>תהיה מנומקת, תינתן בכתב ותיחתם בידי חברי בית הדין.</w:t>
            </w:r>
          </w:p>
        </w:tc>
      </w:tr>
      <w:tr w:rsidR="00321145" w14:paraId="076C191A" w14:textId="77777777" w:rsidTr="00AA324E">
        <w:tblPrEx>
          <w:tblLook w:val="01E0" w:firstRow="1" w:lastRow="1" w:firstColumn="1" w:lastColumn="1" w:noHBand="0" w:noVBand="0"/>
        </w:tblPrEx>
        <w:trPr>
          <w:cantSplit/>
          <w:trHeight w:val="60"/>
        </w:trPr>
        <w:tc>
          <w:tcPr>
            <w:tcW w:w="1869" w:type="dxa"/>
          </w:tcPr>
          <w:p w14:paraId="73833623" w14:textId="77777777" w:rsidR="00321145" w:rsidRDefault="00321145" w:rsidP="00AA324E">
            <w:pPr>
              <w:pStyle w:val="TableSideHeading"/>
            </w:pPr>
          </w:p>
        </w:tc>
        <w:tc>
          <w:tcPr>
            <w:tcW w:w="624" w:type="dxa"/>
          </w:tcPr>
          <w:p w14:paraId="0BC0BFA0" w14:textId="77777777" w:rsidR="00321145" w:rsidRDefault="00321145" w:rsidP="00AA324E">
            <w:pPr>
              <w:pStyle w:val="TableText"/>
            </w:pPr>
          </w:p>
        </w:tc>
        <w:tc>
          <w:tcPr>
            <w:tcW w:w="624" w:type="dxa"/>
          </w:tcPr>
          <w:p w14:paraId="7C84079B" w14:textId="77777777" w:rsidR="00321145" w:rsidRDefault="00321145" w:rsidP="00AA324E">
            <w:pPr>
              <w:pStyle w:val="TableText"/>
            </w:pPr>
          </w:p>
        </w:tc>
        <w:tc>
          <w:tcPr>
            <w:tcW w:w="624" w:type="dxa"/>
          </w:tcPr>
          <w:p w14:paraId="7024C522" w14:textId="77777777" w:rsidR="00321145" w:rsidRDefault="00321145" w:rsidP="00AA324E">
            <w:pPr>
              <w:pStyle w:val="TableText"/>
            </w:pPr>
          </w:p>
        </w:tc>
        <w:tc>
          <w:tcPr>
            <w:tcW w:w="624" w:type="dxa"/>
          </w:tcPr>
          <w:p w14:paraId="4DABA50F" w14:textId="77777777" w:rsidR="00321145" w:rsidRDefault="00321145" w:rsidP="00AA324E">
            <w:pPr>
              <w:pStyle w:val="TableText"/>
            </w:pPr>
          </w:p>
        </w:tc>
        <w:tc>
          <w:tcPr>
            <w:tcW w:w="624" w:type="dxa"/>
          </w:tcPr>
          <w:p w14:paraId="4CE80617" w14:textId="77777777" w:rsidR="00321145" w:rsidRDefault="00321145" w:rsidP="00AA324E">
            <w:pPr>
              <w:pStyle w:val="TableText"/>
            </w:pPr>
          </w:p>
        </w:tc>
        <w:tc>
          <w:tcPr>
            <w:tcW w:w="4649" w:type="dxa"/>
            <w:gridSpan w:val="3"/>
          </w:tcPr>
          <w:p w14:paraId="7C3E91CB" w14:textId="77777777" w:rsidR="00321145" w:rsidRDefault="00321145" w:rsidP="00AA324E">
            <w:pPr>
              <w:pStyle w:val="TableBlock"/>
            </w:pPr>
            <w:r w:rsidRPr="00CC708C">
              <w:rPr>
                <w:rFonts w:hint="cs"/>
                <w:rtl/>
              </w:rPr>
              <w:t>(</w:t>
            </w:r>
            <w:r>
              <w:rPr>
                <w:rFonts w:hint="cs"/>
                <w:rtl/>
              </w:rPr>
              <w:t>ג</w:t>
            </w:r>
            <w:r w:rsidRPr="00CC708C">
              <w:rPr>
                <w:rFonts w:hint="cs"/>
                <w:rtl/>
              </w:rPr>
              <w:t>)</w:t>
            </w:r>
            <w:r w:rsidRPr="00CC708C">
              <w:rPr>
                <w:rtl/>
              </w:rPr>
              <w:tab/>
            </w:r>
            <w:r w:rsidRPr="00CC708C">
              <w:rPr>
                <w:rFonts w:hint="cs"/>
                <w:rtl/>
              </w:rPr>
              <w:t>בתוך 30 ימים מסיום הליך הגיור, תינתן</w:t>
            </w:r>
            <w:r>
              <w:rPr>
                <w:rFonts w:hint="cs"/>
                <w:rtl/>
              </w:rPr>
              <w:t xml:space="preserve"> תעודת אישור לפי סעיף 2(1).</w:t>
            </w:r>
          </w:p>
        </w:tc>
      </w:tr>
      <w:tr w:rsidR="00321145" w14:paraId="6357F5C4" w14:textId="77777777" w:rsidTr="00AA324E">
        <w:tblPrEx>
          <w:tblLook w:val="01E0" w:firstRow="1" w:lastRow="1" w:firstColumn="1" w:lastColumn="1" w:noHBand="0" w:noVBand="0"/>
        </w:tblPrEx>
        <w:trPr>
          <w:cantSplit/>
          <w:trHeight w:val="60"/>
        </w:trPr>
        <w:tc>
          <w:tcPr>
            <w:tcW w:w="1869" w:type="dxa"/>
          </w:tcPr>
          <w:p w14:paraId="590BB3C4" w14:textId="77777777" w:rsidR="00321145" w:rsidRDefault="00321145" w:rsidP="00AA324E">
            <w:pPr>
              <w:pStyle w:val="TableSideHeading"/>
            </w:pPr>
          </w:p>
        </w:tc>
        <w:tc>
          <w:tcPr>
            <w:tcW w:w="624" w:type="dxa"/>
          </w:tcPr>
          <w:p w14:paraId="30FC3E52" w14:textId="77777777" w:rsidR="00321145" w:rsidRDefault="00321145" w:rsidP="00AA324E">
            <w:pPr>
              <w:pStyle w:val="TableText"/>
            </w:pPr>
          </w:p>
        </w:tc>
        <w:tc>
          <w:tcPr>
            <w:tcW w:w="624" w:type="dxa"/>
          </w:tcPr>
          <w:p w14:paraId="57EF9AA4" w14:textId="77777777" w:rsidR="00321145" w:rsidRDefault="00321145" w:rsidP="00AA324E">
            <w:pPr>
              <w:pStyle w:val="TableText"/>
            </w:pPr>
          </w:p>
        </w:tc>
        <w:tc>
          <w:tcPr>
            <w:tcW w:w="624" w:type="dxa"/>
          </w:tcPr>
          <w:p w14:paraId="1E0C7107" w14:textId="77777777" w:rsidR="00321145" w:rsidRDefault="00321145" w:rsidP="00AA324E">
            <w:pPr>
              <w:pStyle w:val="TableText"/>
            </w:pPr>
          </w:p>
        </w:tc>
        <w:tc>
          <w:tcPr>
            <w:tcW w:w="624" w:type="dxa"/>
          </w:tcPr>
          <w:p w14:paraId="5E58DF26" w14:textId="77777777" w:rsidR="00321145" w:rsidRDefault="00321145" w:rsidP="00AA324E">
            <w:pPr>
              <w:pStyle w:val="TableText"/>
            </w:pPr>
          </w:p>
        </w:tc>
        <w:tc>
          <w:tcPr>
            <w:tcW w:w="624" w:type="dxa"/>
          </w:tcPr>
          <w:p w14:paraId="1275AB32" w14:textId="77777777" w:rsidR="00321145" w:rsidRDefault="00321145" w:rsidP="00AA324E">
            <w:pPr>
              <w:pStyle w:val="TableText"/>
            </w:pPr>
          </w:p>
        </w:tc>
        <w:tc>
          <w:tcPr>
            <w:tcW w:w="4649" w:type="dxa"/>
            <w:gridSpan w:val="3"/>
          </w:tcPr>
          <w:p w14:paraId="47355057" w14:textId="77777777" w:rsidR="00321145" w:rsidRDefault="00321145" w:rsidP="00AA324E">
            <w:pPr>
              <w:pStyle w:val="TableBlock"/>
            </w:pPr>
            <w:r w:rsidRPr="00CC708C">
              <w:rPr>
                <w:rFonts w:hint="cs"/>
                <w:rtl/>
              </w:rPr>
              <w:t>(</w:t>
            </w:r>
            <w:r>
              <w:rPr>
                <w:rFonts w:hint="cs"/>
                <w:rtl/>
              </w:rPr>
              <w:t>ד</w:t>
            </w:r>
            <w:r w:rsidRPr="00CC708C">
              <w:rPr>
                <w:rFonts w:hint="cs"/>
                <w:rtl/>
              </w:rPr>
              <w:t>)</w:t>
            </w:r>
            <w:r>
              <w:rPr>
                <w:rtl/>
              </w:rPr>
              <w:tab/>
            </w:r>
            <w:r w:rsidRPr="00CC708C">
              <w:rPr>
                <w:rFonts w:hint="cs"/>
                <w:rtl/>
              </w:rPr>
              <w:t xml:space="preserve">בתוך 15 ימים </w:t>
            </w:r>
            <w:r>
              <w:rPr>
                <w:rFonts w:hint="cs"/>
                <w:rtl/>
              </w:rPr>
              <w:t>מ</w:t>
            </w:r>
            <w:r w:rsidRPr="00CC708C">
              <w:rPr>
                <w:rFonts w:hint="cs"/>
                <w:rtl/>
              </w:rPr>
              <w:t xml:space="preserve">מתן תעודת אישור לפי סעיף קטן 2(1), יימסר תיק בית הדין </w:t>
            </w:r>
            <w:r>
              <w:rPr>
                <w:rFonts w:hint="cs"/>
                <w:rtl/>
              </w:rPr>
              <w:t>ל</w:t>
            </w:r>
            <w:r w:rsidRPr="00CC708C">
              <w:rPr>
                <w:rFonts w:hint="cs"/>
                <w:rtl/>
              </w:rPr>
              <w:t xml:space="preserve">מערך הגיור </w:t>
            </w:r>
            <w:r>
              <w:rPr>
                <w:rFonts w:hint="cs"/>
                <w:rtl/>
              </w:rPr>
              <w:t>ש</w:t>
            </w:r>
            <w:r w:rsidRPr="00CC708C">
              <w:rPr>
                <w:rFonts w:hint="cs"/>
                <w:rtl/>
              </w:rPr>
              <w:t xml:space="preserve">יבדוק אם הושלמו ההליכים שנקבעו בהתאם להחלטת בית הדין, ואם מצא כי הושלמו כל ההליכים האמורים, תונפק למתגייר תעודה לפי הוראות סעיף 2(2). </w:t>
            </w:r>
          </w:p>
        </w:tc>
      </w:tr>
      <w:tr w:rsidR="00321145" w14:paraId="7D3A1D0E" w14:textId="77777777" w:rsidTr="00AA324E">
        <w:tblPrEx>
          <w:tblLook w:val="01E0" w:firstRow="1" w:lastRow="1" w:firstColumn="1" w:lastColumn="1" w:noHBand="0" w:noVBand="0"/>
        </w:tblPrEx>
        <w:trPr>
          <w:cantSplit/>
          <w:trHeight w:val="60"/>
        </w:trPr>
        <w:tc>
          <w:tcPr>
            <w:tcW w:w="1869" w:type="dxa"/>
          </w:tcPr>
          <w:p w14:paraId="407C4A14" w14:textId="77777777" w:rsidR="00321145" w:rsidRDefault="00321145" w:rsidP="00AA324E">
            <w:pPr>
              <w:pStyle w:val="TableSideHeading"/>
              <w:keepLines w:val="0"/>
            </w:pPr>
          </w:p>
        </w:tc>
        <w:tc>
          <w:tcPr>
            <w:tcW w:w="624" w:type="dxa"/>
          </w:tcPr>
          <w:p w14:paraId="7B32ADFD" w14:textId="77777777" w:rsidR="00321145" w:rsidRDefault="00321145" w:rsidP="00AA324E">
            <w:pPr>
              <w:pStyle w:val="TableText"/>
              <w:keepLines w:val="0"/>
            </w:pPr>
          </w:p>
        </w:tc>
        <w:tc>
          <w:tcPr>
            <w:tcW w:w="1872" w:type="dxa"/>
            <w:gridSpan w:val="3"/>
          </w:tcPr>
          <w:p w14:paraId="6249C31C" w14:textId="77777777" w:rsidR="00321145" w:rsidRDefault="00321145" w:rsidP="00AA324E">
            <w:pPr>
              <w:pStyle w:val="TableInnerSideHeading"/>
            </w:pPr>
            <w:r w:rsidRPr="00CC708C">
              <w:rPr>
                <w:rFonts w:hint="cs"/>
                <w:rtl/>
              </w:rPr>
              <w:t>ערעור</w:t>
            </w:r>
          </w:p>
        </w:tc>
        <w:tc>
          <w:tcPr>
            <w:tcW w:w="624" w:type="dxa"/>
          </w:tcPr>
          <w:p w14:paraId="42CF0148" w14:textId="77777777" w:rsidR="00321145" w:rsidRDefault="00321145" w:rsidP="00AA324E">
            <w:pPr>
              <w:pStyle w:val="TableText"/>
            </w:pPr>
            <w:r>
              <w:rPr>
                <w:rFonts w:hint="cs"/>
                <w:rtl/>
              </w:rPr>
              <w:t>15</w:t>
            </w:r>
            <w:r w:rsidRPr="00CC708C">
              <w:rPr>
                <w:rFonts w:hint="cs"/>
                <w:rtl/>
              </w:rPr>
              <w:t>.</w:t>
            </w:r>
          </w:p>
        </w:tc>
        <w:tc>
          <w:tcPr>
            <w:tcW w:w="4649" w:type="dxa"/>
            <w:gridSpan w:val="3"/>
          </w:tcPr>
          <w:p w14:paraId="1A710784" w14:textId="0A2516E3" w:rsidR="00321145" w:rsidRDefault="00321145" w:rsidP="00AA324E">
            <w:pPr>
              <w:pStyle w:val="TableBlock"/>
            </w:pPr>
            <w:r w:rsidRPr="00CC708C">
              <w:rPr>
                <w:rFonts w:hint="cs"/>
                <w:rtl/>
              </w:rPr>
              <w:t>(א)</w:t>
            </w:r>
            <w:r w:rsidRPr="00CC708C">
              <w:rPr>
                <w:rtl/>
              </w:rPr>
              <w:tab/>
            </w:r>
            <w:r w:rsidRPr="00CC708C">
              <w:rPr>
                <w:rFonts w:hint="cs"/>
                <w:rtl/>
              </w:rPr>
              <w:t xml:space="preserve">החלטת בית דין לגיור ניתנת לערעור על ידי המתגייר בתוך 45 ימים מיום שהומצאה </w:t>
            </w:r>
            <w:r>
              <w:rPr>
                <w:rFonts w:hint="cs"/>
                <w:rtl/>
              </w:rPr>
              <w:t>לו</w:t>
            </w:r>
            <w:r w:rsidRPr="00CC708C">
              <w:rPr>
                <w:rFonts w:hint="cs"/>
                <w:rtl/>
              </w:rPr>
              <w:t>, לפי כללים שיקבע השר</w:t>
            </w:r>
            <w:r w:rsidR="00376397">
              <w:rPr>
                <w:rFonts w:hint="cs"/>
                <w:rtl/>
              </w:rPr>
              <w:t>,</w:t>
            </w:r>
            <w:r w:rsidRPr="00CC708C">
              <w:rPr>
                <w:rFonts w:hint="cs"/>
                <w:rtl/>
              </w:rPr>
              <w:t xml:space="preserve"> בהתייעצות עם הרב הראשי לישראל</w:t>
            </w:r>
            <w:r>
              <w:rPr>
                <w:rFonts w:hint="cs"/>
                <w:rtl/>
              </w:rPr>
              <w:t>.</w:t>
            </w:r>
          </w:p>
        </w:tc>
      </w:tr>
      <w:tr w:rsidR="00321145" w14:paraId="741706C0" w14:textId="77777777" w:rsidTr="00AA324E">
        <w:tblPrEx>
          <w:tblLook w:val="01E0" w:firstRow="1" w:lastRow="1" w:firstColumn="1" w:lastColumn="1" w:noHBand="0" w:noVBand="0"/>
        </w:tblPrEx>
        <w:trPr>
          <w:cantSplit/>
          <w:trHeight w:val="60"/>
        </w:trPr>
        <w:tc>
          <w:tcPr>
            <w:tcW w:w="1869" w:type="dxa"/>
          </w:tcPr>
          <w:p w14:paraId="39799494" w14:textId="77777777" w:rsidR="00321145" w:rsidRDefault="00321145" w:rsidP="00AA324E">
            <w:pPr>
              <w:pStyle w:val="TableSideHeading"/>
            </w:pPr>
          </w:p>
        </w:tc>
        <w:tc>
          <w:tcPr>
            <w:tcW w:w="624" w:type="dxa"/>
          </w:tcPr>
          <w:p w14:paraId="0845BA3A" w14:textId="77777777" w:rsidR="00321145" w:rsidRDefault="00321145" w:rsidP="00AA324E">
            <w:pPr>
              <w:pStyle w:val="TableText"/>
            </w:pPr>
          </w:p>
        </w:tc>
        <w:tc>
          <w:tcPr>
            <w:tcW w:w="624" w:type="dxa"/>
          </w:tcPr>
          <w:p w14:paraId="7605E8FB" w14:textId="77777777" w:rsidR="00321145" w:rsidRDefault="00321145" w:rsidP="00AA324E">
            <w:pPr>
              <w:pStyle w:val="TableText"/>
            </w:pPr>
          </w:p>
        </w:tc>
        <w:tc>
          <w:tcPr>
            <w:tcW w:w="624" w:type="dxa"/>
          </w:tcPr>
          <w:p w14:paraId="5BC7E1F0" w14:textId="77777777" w:rsidR="00321145" w:rsidRDefault="00321145" w:rsidP="00AA324E">
            <w:pPr>
              <w:pStyle w:val="TableText"/>
            </w:pPr>
          </w:p>
        </w:tc>
        <w:tc>
          <w:tcPr>
            <w:tcW w:w="624" w:type="dxa"/>
          </w:tcPr>
          <w:p w14:paraId="1E339EAA" w14:textId="77777777" w:rsidR="00321145" w:rsidRDefault="00321145" w:rsidP="00AA324E">
            <w:pPr>
              <w:pStyle w:val="TableText"/>
            </w:pPr>
          </w:p>
        </w:tc>
        <w:tc>
          <w:tcPr>
            <w:tcW w:w="624" w:type="dxa"/>
          </w:tcPr>
          <w:p w14:paraId="3D5A9781" w14:textId="77777777" w:rsidR="00321145" w:rsidRDefault="00321145" w:rsidP="00AA324E">
            <w:pPr>
              <w:pStyle w:val="TableText"/>
            </w:pPr>
          </w:p>
        </w:tc>
        <w:tc>
          <w:tcPr>
            <w:tcW w:w="4649" w:type="dxa"/>
            <w:gridSpan w:val="3"/>
          </w:tcPr>
          <w:p w14:paraId="57730F19" w14:textId="0D6136A7" w:rsidR="00321145" w:rsidRDefault="00321145" w:rsidP="00AA324E">
            <w:pPr>
              <w:pStyle w:val="TableBlock"/>
            </w:pPr>
            <w:r w:rsidRPr="00CC708C">
              <w:rPr>
                <w:rFonts w:hint="cs"/>
                <w:rtl/>
              </w:rPr>
              <w:t>(ב)</w:t>
            </w:r>
            <w:r w:rsidRPr="00CC708C">
              <w:rPr>
                <w:rtl/>
              </w:rPr>
              <w:tab/>
            </w:r>
            <w:r w:rsidR="00AE6195">
              <w:rPr>
                <w:rFonts w:hint="cs"/>
                <w:rtl/>
              </w:rPr>
              <w:t>ערעור כאמור בסעיף קטן (א)</w:t>
            </w:r>
            <w:r w:rsidRPr="00CC708C">
              <w:rPr>
                <w:rFonts w:hint="cs"/>
                <w:rtl/>
              </w:rPr>
              <w:t xml:space="preserve"> יידון בפני הרכב שימנה ראש מערך הגיור מבין דייני הגיור.</w:t>
            </w:r>
          </w:p>
        </w:tc>
      </w:tr>
      <w:tr w:rsidR="00321145" w:rsidRPr="00B563E8" w14:paraId="5767FF01" w14:textId="77777777" w:rsidTr="00AA324E">
        <w:trPr>
          <w:cantSplit/>
        </w:trPr>
        <w:tc>
          <w:tcPr>
            <w:tcW w:w="1869" w:type="dxa"/>
            <w:shd w:val="clear" w:color="auto" w:fill="auto"/>
            <w:tcMar>
              <w:top w:w="91" w:type="dxa"/>
              <w:left w:w="0" w:type="dxa"/>
              <w:bottom w:w="91" w:type="dxa"/>
              <w:right w:w="0" w:type="dxa"/>
            </w:tcMar>
          </w:tcPr>
          <w:p w14:paraId="326AD755"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47D39ACA"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1BE61918" w14:textId="77777777" w:rsidR="00321145" w:rsidRPr="00B563E8" w:rsidRDefault="00321145" w:rsidP="00AA324E">
            <w:pPr>
              <w:pStyle w:val="TableInnerSideHeading"/>
              <w:rPr>
                <w:rtl/>
              </w:rPr>
            </w:pPr>
            <w:r w:rsidRPr="00B563E8">
              <w:rPr>
                <w:rtl/>
              </w:rPr>
              <w:t>גיור של נתינים זרים</w:t>
            </w:r>
          </w:p>
        </w:tc>
        <w:tc>
          <w:tcPr>
            <w:tcW w:w="624" w:type="dxa"/>
            <w:shd w:val="clear" w:color="auto" w:fill="auto"/>
            <w:tcMar>
              <w:top w:w="91" w:type="dxa"/>
              <w:left w:w="0" w:type="dxa"/>
              <w:bottom w:w="91" w:type="dxa"/>
              <w:right w:w="0" w:type="dxa"/>
            </w:tcMar>
          </w:tcPr>
          <w:p w14:paraId="655D5BCC" w14:textId="77777777" w:rsidR="00321145" w:rsidRPr="00B64481" w:rsidRDefault="00321145" w:rsidP="00AA324E">
            <w:pPr>
              <w:pStyle w:val="TableText"/>
              <w:rPr>
                <w:rtl/>
              </w:rPr>
            </w:pPr>
            <w:r>
              <w:rPr>
                <w:rFonts w:hint="cs"/>
                <w:rtl/>
              </w:rPr>
              <w:t>16</w:t>
            </w:r>
            <w:r w:rsidRPr="00B64481">
              <w:rPr>
                <w:rtl/>
              </w:rPr>
              <w:t>.</w:t>
            </w:r>
          </w:p>
        </w:tc>
        <w:tc>
          <w:tcPr>
            <w:tcW w:w="4649" w:type="dxa"/>
            <w:gridSpan w:val="3"/>
            <w:shd w:val="clear" w:color="auto" w:fill="auto"/>
            <w:tcMar>
              <w:top w:w="91" w:type="dxa"/>
              <w:left w:w="0" w:type="dxa"/>
              <w:bottom w:w="91" w:type="dxa"/>
              <w:right w:w="0" w:type="dxa"/>
            </w:tcMar>
          </w:tcPr>
          <w:p w14:paraId="49979626" w14:textId="77777777" w:rsidR="00321145" w:rsidRPr="00B563E8" w:rsidRDefault="00321145" w:rsidP="00AA324E">
            <w:pPr>
              <w:pStyle w:val="TableBlock"/>
              <w:rPr>
                <w:rtl/>
              </w:rPr>
            </w:pPr>
            <w:r w:rsidRPr="00B563E8">
              <w:rPr>
                <w:rtl/>
              </w:rPr>
              <w:t>לא ייפתחו הליכי גיור לנתין זר, לא יופנה נתין זר ללימודים והכנה לקראת גיור ולא יעבור נתין זר הליך גיור בפני בית דין לגיור, אלא בנסיבות מיוחדות, והכול כפי שקבעו השר ושר הפנים.</w:t>
            </w:r>
          </w:p>
        </w:tc>
      </w:tr>
      <w:tr w:rsidR="00321145" w:rsidRPr="00B563E8" w14:paraId="7608736C" w14:textId="77777777" w:rsidTr="00AA324E">
        <w:trPr>
          <w:cantSplit/>
        </w:trPr>
        <w:tc>
          <w:tcPr>
            <w:tcW w:w="1869" w:type="dxa"/>
            <w:shd w:val="clear" w:color="auto" w:fill="auto"/>
            <w:tcMar>
              <w:top w:w="91" w:type="dxa"/>
              <w:left w:w="0" w:type="dxa"/>
              <w:bottom w:w="91" w:type="dxa"/>
              <w:right w:w="0" w:type="dxa"/>
            </w:tcMar>
          </w:tcPr>
          <w:p w14:paraId="4BAEA2FA"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05AF33F4"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2D68D708" w14:textId="77777777" w:rsidR="00321145" w:rsidRPr="00B563E8" w:rsidRDefault="00321145" w:rsidP="00AA324E">
            <w:pPr>
              <w:pStyle w:val="TableInnerSideHeading"/>
              <w:rPr>
                <w:rtl/>
              </w:rPr>
            </w:pPr>
            <w:r w:rsidRPr="00B563E8">
              <w:rPr>
                <w:rtl/>
              </w:rPr>
              <w:t>נפקות הגיור</w:t>
            </w:r>
          </w:p>
        </w:tc>
        <w:tc>
          <w:tcPr>
            <w:tcW w:w="624" w:type="dxa"/>
            <w:shd w:val="clear" w:color="auto" w:fill="auto"/>
            <w:tcMar>
              <w:top w:w="91" w:type="dxa"/>
              <w:left w:w="0" w:type="dxa"/>
              <w:bottom w:w="91" w:type="dxa"/>
              <w:right w:w="0" w:type="dxa"/>
            </w:tcMar>
          </w:tcPr>
          <w:p w14:paraId="2A0E1B02" w14:textId="77777777" w:rsidR="00321145" w:rsidRPr="00B64481" w:rsidRDefault="00321145" w:rsidP="00AA324E">
            <w:pPr>
              <w:pStyle w:val="TableText"/>
              <w:rPr>
                <w:rtl/>
              </w:rPr>
            </w:pPr>
            <w:r>
              <w:rPr>
                <w:rFonts w:hint="cs"/>
                <w:rtl/>
              </w:rPr>
              <w:t>17</w:t>
            </w:r>
            <w:r w:rsidRPr="00B64481">
              <w:rPr>
                <w:rtl/>
              </w:rPr>
              <w:t>.</w:t>
            </w:r>
          </w:p>
        </w:tc>
        <w:tc>
          <w:tcPr>
            <w:tcW w:w="4649" w:type="dxa"/>
            <w:gridSpan w:val="3"/>
            <w:shd w:val="clear" w:color="auto" w:fill="auto"/>
            <w:tcMar>
              <w:top w:w="91" w:type="dxa"/>
              <w:left w:w="0" w:type="dxa"/>
              <w:bottom w:w="91" w:type="dxa"/>
              <w:right w:w="0" w:type="dxa"/>
            </w:tcMar>
          </w:tcPr>
          <w:p w14:paraId="7A2EF20A" w14:textId="77777777" w:rsidR="00321145" w:rsidRPr="00B563E8" w:rsidRDefault="00321145" w:rsidP="00AA324E">
            <w:pPr>
              <w:pStyle w:val="TableBlock"/>
              <w:rPr>
                <w:rtl/>
              </w:rPr>
            </w:pPr>
            <w:r>
              <w:rPr>
                <w:rFonts w:hint="cs"/>
                <w:rtl/>
              </w:rPr>
              <w:t>(א)</w:t>
            </w:r>
            <w:r>
              <w:rPr>
                <w:rtl/>
              </w:rPr>
              <w:tab/>
            </w:r>
            <w:r w:rsidRPr="00B563E8">
              <w:rPr>
                <w:rtl/>
              </w:rPr>
              <w:t>נפקותו של גיור לפי פרק זה תהיה לעניין הוראות פקודה זו</w:t>
            </w:r>
            <w:r>
              <w:rPr>
                <w:rFonts w:hint="cs"/>
                <w:rtl/>
              </w:rPr>
              <w:t xml:space="preserve"> בלבד</w:t>
            </w:r>
            <w:r w:rsidRPr="00B563E8">
              <w:rPr>
                <w:rtl/>
              </w:rPr>
              <w:t>.</w:t>
            </w:r>
          </w:p>
        </w:tc>
      </w:tr>
      <w:tr w:rsidR="00321145" w14:paraId="6FBE1963" w14:textId="77777777" w:rsidTr="00AA324E">
        <w:tblPrEx>
          <w:tblLook w:val="01E0" w:firstRow="1" w:lastRow="1" w:firstColumn="1" w:lastColumn="1" w:noHBand="0" w:noVBand="0"/>
        </w:tblPrEx>
        <w:trPr>
          <w:cantSplit/>
          <w:trHeight w:val="60"/>
        </w:trPr>
        <w:tc>
          <w:tcPr>
            <w:tcW w:w="1869" w:type="dxa"/>
          </w:tcPr>
          <w:p w14:paraId="3D40F7F0" w14:textId="77777777" w:rsidR="00321145" w:rsidRDefault="00321145" w:rsidP="00AA324E">
            <w:pPr>
              <w:pStyle w:val="TableSideHeading"/>
            </w:pPr>
          </w:p>
        </w:tc>
        <w:tc>
          <w:tcPr>
            <w:tcW w:w="624" w:type="dxa"/>
          </w:tcPr>
          <w:p w14:paraId="007475DA" w14:textId="77777777" w:rsidR="00321145" w:rsidRDefault="00321145" w:rsidP="00AA324E">
            <w:pPr>
              <w:pStyle w:val="TableText"/>
            </w:pPr>
          </w:p>
        </w:tc>
        <w:tc>
          <w:tcPr>
            <w:tcW w:w="624" w:type="dxa"/>
          </w:tcPr>
          <w:p w14:paraId="0ED9E080" w14:textId="77777777" w:rsidR="00321145" w:rsidRDefault="00321145" w:rsidP="00AA324E">
            <w:pPr>
              <w:pStyle w:val="TableText"/>
            </w:pPr>
          </w:p>
        </w:tc>
        <w:tc>
          <w:tcPr>
            <w:tcW w:w="624" w:type="dxa"/>
          </w:tcPr>
          <w:p w14:paraId="578639BC" w14:textId="77777777" w:rsidR="00321145" w:rsidRDefault="00321145" w:rsidP="00AA324E">
            <w:pPr>
              <w:pStyle w:val="TableText"/>
            </w:pPr>
          </w:p>
        </w:tc>
        <w:tc>
          <w:tcPr>
            <w:tcW w:w="624" w:type="dxa"/>
          </w:tcPr>
          <w:p w14:paraId="5361BF38" w14:textId="77777777" w:rsidR="00321145" w:rsidRDefault="00321145" w:rsidP="00AA324E">
            <w:pPr>
              <w:pStyle w:val="TableText"/>
            </w:pPr>
          </w:p>
        </w:tc>
        <w:tc>
          <w:tcPr>
            <w:tcW w:w="624" w:type="dxa"/>
          </w:tcPr>
          <w:p w14:paraId="67F1A84D" w14:textId="77777777" w:rsidR="00321145" w:rsidRDefault="00321145" w:rsidP="00AA324E">
            <w:pPr>
              <w:pStyle w:val="TableText"/>
            </w:pPr>
          </w:p>
        </w:tc>
        <w:tc>
          <w:tcPr>
            <w:tcW w:w="4649" w:type="dxa"/>
            <w:gridSpan w:val="3"/>
          </w:tcPr>
          <w:p w14:paraId="3CD26D76" w14:textId="2666370C" w:rsidR="00321145" w:rsidRPr="00245A21" w:rsidRDefault="00321145" w:rsidP="00AA324E">
            <w:pPr>
              <w:pStyle w:val="TableBlock"/>
            </w:pPr>
            <w:r w:rsidRPr="00245A21">
              <w:rPr>
                <w:rtl/>
              </w:rPr>
              <w:t>(ב)</w:t>
            </w:r>
            <w:r w:rsidRPr="00245A21">
              <w:rPr>
                <w:rtl/>
              </w:rPr>
              <w:tab/>
            </w:r>
            <w:r w:rsidRPr="00245A21">
              <w:rPr>
                <w:rFonts w:hint="eastAsia"/>
                <w:rtl/>
              </w:rPr>
              <w:t>אין</w:t>
            </w:r>
            <w:r w:rsidRPr="00245A21">
              <w:rPr>
                <w:rtl/>
              </w:rPr>
              <w:t xml:space="preserve"> בהוראות פרק זה כדי לשנות את המצב המשפטי הקיים ערב תחילתו של חוק לתיקון פקודת העדה הדתית (המרה) </w:t>
            </w:r>
            <w:r w:rsidR="00376397">
              <w:rPr>
                <w:rFonts w:hint="cs"/>
                <w:rtl/>
              </w:rPr>
              <w:t>(</w:t>
            </w:r>
            <w:r>
              <w:rPr>
                <w:rFonts w:hint="cs"/>
                <w:rtl/>
              </w:rPr>
              <w:t xml:space="preserve">תיקון </w:t>
            </w:r>
            <w:r>
              <w:rPr>
                <w:rtl/>
              </w:rPr>
              <w:t>–</w:t>
            </w:r>
            <w:r>
              <w:rPr>
                <w:rFonts w:hint="cs"/>
                <w:rtl/>
              </w:rPr>
              <w:t xml:space="preserve"> גיור על ידי רב מקומי</w:t>
            </w:r>
            <w:r w:rsidRPr="00920ADC">
              <w:rPr>
                <w:rtl/>
              </w:rPr>
              <w:t>), התשע"</w:t>
            </w:r>
            <w:r>
              <w:rPr>
                <w:rFonts w:hint="cs"/>
                <w:rtl/>
              </w:rPr>
              <w:t>ו</w:t>
            </w:r>
            <w:r w:rsidRPr="00920ADC">
              <w:rPr>
                <w:rtl/>
              </w:rPr>
              <w:t>–201</w:t>
            </w:r>
            <w:r>
              <w:rPr>
                <w:rFonts w:hint="cs"/>
                <w:rtl/>
              </w:rPr>
              <w:t>6</w:t>
            </w:r>
            <w:r w:rsidRPr="00245A21">
              <w:rPr>
                <w:rtl/>
              </w:rPr>
              <w:t xml:space="preserve">, לעניין </w:t>
            </w:r>
            <w:r w:rsidRPr="00245A21">
              <w:rPr>
                <w:rFonts w:hint="eastAsia"/>
                <w:rtl/>
              </w:rPr>
              <w:t>נפקותו</w:t>
            </w:r>
            <w:r w:rsidRPr="00245A21">
              <w:rPr>
                <w:rtl/>
              </w:rPr>
              <w:t xml:space="preserve"> של גיור בישראל.</w:t>
            </w:r>
          </w:p>
        </w:tc>
      </w:tr>
      <w:tr w:rsidR="00321145" w:rsidRPr="00B563E8" w14:paraId="7BBE396C" w14:textId="77777777" w:rsidTr="00AA324E">
        <w:trPr>
          <w:cantSplit/>
        </w:trPr>
        <w:tc>
          <w:tcPr>
            <w:tcW w:w="1869" w:type="dxa"/>
            <w:shd w:val="clear" w:color="auto" w:fill="auto"/>
            <w:tcMar>
              <w:top w:w="91" w:type="dxa"/>
              <w:left w:w="0" w:type="dxa"/>
              <w:bottom w:w="91" w:type="dxa"/>
              <w:right w:w="0" w:type="dxa"/>
            </w:tcMar>
          </w:tcPr>
          <w:p w14:paraId="6AE0DCC7"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4F82BB33" w14:textId="77777777" w:rsidR="00321145" w:rsidRPr="00B563E8" w:rsidRDefault="00321145" w:rsidP="00AA324E">
            <w:pPr>
              <w:pStyle w:val="TableText"/>
              <w:rPr>
                <w:rtl/>
              </w:rPr>
            </w:pPr>
          </w:p>
        </w:tc>
        <w:tc>
          <w:tcPr>
            <w:tcW w:w="1872" w:type="dxa"/>
            <w:gridSpan w:val="3"/>
            <w:shd w:val="clear" w:color="auto" w:fill="auto"/>
            <w:tcMar>
              <w:top w:w="91" w:type="dxa"/>
              <w:left w:w="0" w:type="dxa"/>
              <w:bottom w:w="91" w:type="dxa"/>
              <w:right w:w="0" w:type="dxa"/>
            </w:tcMar>
          </w:tcPr>
          <w:p w14:paraId="65546592" w14:textId="77777777" w:rsidR="00321145" w:rsidRPr="00B563E8" w:rsidRDefault="00321145" w:rsidP="00AA324E">
            <w:pPr>
              <w:pStyle w:val="TableInnerSideHeading"/>
              <w:rPr>
                <w:rtl/>
              </w:rPr>
            </w:pPr>
            <w:r w:rsidRPr="00B563E8">
              <w:rPr>
                <w:rtl/>
              </w:rPr>
              <w:t xml:space="preserve">ביצוע ותקנות </w:t>
            </w:r>
          </w:p>
        </w:tc>
        <w:tc>
          <w:tcPr>
            <w:tcW w:w="624" w:type="dxa"/>
            <w:shd w:val="clear" w:color="auto" w:fill="auto"/>
            <w:tcMar>
              <w:top w:w="91" w:type="dxa"/>
              <w:left w:w="0" w:type="dxa"/>
              <w:bottom w:w="91" w:type="dxa"/>
              <w:right w:w="0" w:type="dxa"/>
            </w:tcMar>
          </w:tcPr>
          <w:p w14:paraId="71C98E44" w14:textId="77777777" w:rsidR="00321145" w:rsidRPr="00B64481" w:rsidRDefault="00321145" w:rsidP="00AA324E">
            <w:pPr>
              <w:pStyle w:val="TableText"/>
              <w:rPr>
                <w:rtl/>
              </w:rPr>
            </w:pPr>
            <w:r>
              <w:rPr>
                <w:rFonts w:hint="cs"/>
                <w:rtl/>
              </w:rPr>
              <w:t>18</w:t>
            </w:r>
            <w:r w:rsidRPr="00B64481">
              <w:rPr>
                <w:rtl/>
              </w:rPr>
              <w:t>.</w:t>
            </w:r>
          </w:p>
        </w:tc>
        <w:tc>
          <w:tcPr>
            <w:tcW w:w="4649" w:type="dxa"/>
            <w:gridSpan w:val="3"/>
            <w:shd w:val="clear" w:color="auto" w:fill="auto"/>
            <w:tcMar>
              <w:top w:w="91" w:type="dxa"/>
              <w:left w:w="0" w:type="dxa"/>
              <w:bottom w:w="91" w:type="dxa"/>
              <w:right w:w="0" w:type="dxa"/>
            </w:tcMar>
          </w:tcPr>
          <w:p w14:paraId="5C63CD0C" w14:textId="4513DE9F" w:rsidR="00321145" w:rsidRPr="00B563E8" w:rsidRDefault="00321145" w:rsidP="00376397">
            <w:pPr>
              <w:pStyle w:val="TableBlock"/>
              <w:rPr>
                <w:rtl/>
              </w:rPr>
            </w:pPr>
            <w:r w:rsidRPr="00B563E8">
              <w:rPr>
                <w:rtl/>
              </w:rPr>
              <w:t>(א)</w:t>
            </w:r>
            <w:r w:rsidRPr="00B563E8">
              <w:rPr>
                <w:rtl/>
              </w:rPr>
              <w:tab/>
              <w:t>השר ממונה על ביצועו של פרק זה והוא רשאי, באישור ועדת החוקה חוק ומשפט של הכנסת, להתקין תקנות בכל עניין הנוגע לביצועו ובכלל זה לקבוע אגרות.</w:t>
            </w:r>
          </w:p>
        </w:tc>
      </w:tr>
      <w:tr w:rsidR="00321145" w:rsidRPr="00B563E8" w14:paraId="7FAC98BC" w14:textId="77777777" w:rsidTr="00AA324E">
        <w:trPr>
          <w:cantSplit/>
        </w:trPr>
        <w:tc>
          <w:tcPr>
            <w:tcW w:w="1869" w:type="dxa"/>
            <w:shd w:val="clear" w:color="auto" w:fill="auto"/>
            <w:tcMar>
              <w:top w:w="91" w:type="dxa"/>
              <w:left w:w="0" w:type="dxa"/>
              <w:bottom w:w="91" w:type="dxa"/>
              <w:right w:w="0" w:type="dxa"/>
            </w:tcMar>
          </w:tcPr>
          <w:p w14:paraId="4BADCBEF"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657578A6"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66A25690"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7CDFBF7B"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2EC1C47A" w14:textId="77777777" w:rsidR="00321145" w:rsidRPr="00B563E8" w:rsidRDefault="00321145" w:rsidP="00AA324E">
            <w:pPr>
              <w:pStyle w:val="TableText"/>
              <w:rPr>
                <w:rtl/>
              </w:rPr>
            </w:pPr>
          </w:p>
        </w:tc>
        <w:tc>
          <w:tcPr>
            <w:tcW w:w="624" w:type="dxa"/>
            <w:shd w:val="clear" w:color="auto" w:fill="auto"/>
            <w:tcMar>
              <w:top w:w="91" w:type="dxa"/>
              <w:left w:w="0" w:type="dxa"/>
              <w:bottom w:w="91" w:type="dxa"/>
              <w:right w:w="0" w:type="dxa"/>
            </w:tcMar>
          </w:tcPr>
          <w:p w14:paraId="5A9B3A49" w14:textId="77777777" w:rsidR="00321145" w:rsidRPr="00B563E8" w:rsidRDefault="00321145" w:rsidP="00AA324E">
            <w:pPr>
              <w:pStyle w:val="TableText"/>
              <w:rPr>
                <w:rtl/>
              </w:rPr>
            </w:pPr>
          </w:p>
        </w:tc>
        <w:tc>
          <w:tcPr>
            <w:tcW w:w="4649" w:type="dxa"/>
            <w:gridSpan w:val="3"/>
            <w:shd w:val="clear" w:color="auto" w:fill="auto"/>
            <w:tcMar>
              <w:top w:w="91" w:type="dxa"/>
              <w:left w:w="0" w:type="dxa"/>
              <w:bottom w:w="91" w:type="dxa"/>
              <w:right w:w="0" w:type="dxa"/>
            </w:tcMar>
          </w:tcPr>
          <w:p w14:paraId="1017E4AE" w14:textId="77777777" w:rsidR="00321145" w:rsidRPr="00B563E8" w:rsidRDefault="00321145" w:rsidP="00AA324E">
            <w:pPr>
              <w:pStyle w:val="TableBlock"/>
              <w:rPr>
                <w:rtl/>
              </w:rPr>
            </w:pPr>
            <w:r w:rsidRPr="00B563E8">
              <w:rPr>
                <w:rtl/>
              </w:rPr>
              <w:t>(</w:t>
            </w:r>
            <w:r>
              <w:rPr>
                <w:rFonts w:hint="cs"/>
                <w:rtl/>
              </w:rPr>
              <w:t>ב</w:t>
            </w:r>
            <w:r w:rsidRPr="00B563E8">
              <w:rPr>
                <w:rtl/>
              </w:rPr>
              <w:t>)</w:t>
            </w:r>
            <w:r w:rsidRPr="00B563E8">
              <w:rPr>
                <w:rtl/>
              </w:rPr>
              <w:tab/>
              <w:t>השר, בהסכמת שר האוצר, רשאי להחליט על תשלום גמול והחזר הוצאות לחברי בית דין לגיור שאינם עובדי המדינה, בשיעור שיקבע.</w:t>
            </w:r>
          </w:p>
        </w:tc>
      </w:tr>
      <w:tr w:rsidR="00321145" w14:paraId="79DD3684" w14:textId="77777777" w:rsidTr="00AA324E">
        <w:tblPrEx>
          <w:tblLook w:val="01E0" w:firstRow="1" w:lastRow="1" w:firstColumn="1" w:lastColumn="1" w:noHBand="0" w:noVBand="0"/>
        </w:tblPrEx>
        <w:trPr>
          <w:cantSplit/>
          <w:trHeight w:val="60"/>
        </w:trPr>
        <w:tc>
          <w:tcPr>
            <w:tcW w:w="1869" w:type="dxa"/>
          </w:tcPr>
          <w:p w14:paraId="1B6C66F9" w14:textId="77777777" w:rsidR="00321145" w:rsidRDefault="00321145" w:rsidP="00AA324E">
            <w:pPr>
              <w:pStyle w:val="TableSideHeading"/>
            </w:pPr>
          </w:p>
        </w:tc>
        <w:tc>
          <w:tcPr>
            <w:tcW w:w="624" w:type="dxa"/>
          </w:tcPr>
          <w:p w14:paraId="28B72FE8" w14:textId="77777777" w:rsidR="00321145" w:rsidRDefault="00321145" w:rsidP="00AA324E">
            <w:pPr>
              <w:pStyle w:val="TableText"/>
            </w:pPr>
          </w:p>
        </w:tc>
        <w:tc>
          <w:tcPr>
            <w:tcW w:w="624" w:type="dxa"/>
          </w:tcPr>
          <w:p w14:paraId="16B59BC5" w14:textId="77777777" w:rsidR="00321145" w:rsidRDefault="00321145" w:rsidP="00AA324E">
            <w:pPr>
              <w:pStyle w:val="TableText"/>
            </w:pPr>
          </w:p>
        </w:tc>
        <w:tc>
          <w:tcPr>
            <w:tcW w:w="624" w:type="dxa"/>
          </w:tcPr>
          <w:p w14:paraId="502588CA" w14:textId="77777777" w:rsidR="00321145" w:rsidRDefault="00321145" w:rsidP="00AA324E">
            <w:pPr>
              <w:pStyle w:val="TableText"/>
            </w:pPr>
          </w:p>
        </w:tc>
        <w:tc>
          <w:tcPr>
            <w:tcW w:w="624" w:type="dxa"/>
          </w:tcPr>
          <w:p w14:paraId="4AFD9E60" w14:textId="77777777" w:rsidR="00321145" w:rsidRDefault="00321145" w:rsidP="00AA324E">
            <w:pPr>
              <w:pStyle w:val="TableText"/>
            </w:pPr>
          </w:p>
        </w:tc>
        <w:tc>
          <w:tcPr>
            <w:tcW w:w="624" w:type="dxa"/>
          </w:tcPr>
          <w:p w14:paraId="7EB19F6A" w14:textId="77777777" w:rsidR="00321145" w:rsidRDefault="00321145" w:rsidP="00AA324E">
            <w:pPr>
              <w:pStyle w:val="TableText"/>
            </w:pPr>
          </w:p>
        </w:tc>
        <w:tc>
          <w:tcPr>
            <w:tcW w:w="4649" w:type="dxa"/>
            <w:gridSpan w:val="3"/>
          </w:tcPr>
          <w:p w14:paraId="7F3D9DD7" w14:textId="77777777" w:rsidR="00321145" w:rsidRDefault="00321145" w:rsidP="00AA324E">
            <w:pPr>
              <w:pStyle w:val="TableBlock"/>
            </w:pPr>
            <w:r w:rsidRPr="00CC708C">
              <w:rPr>
                <w:rFonts w:hint="cs"/>
                <w:rtl/>
              </w:rPr>
              <w:t>(</w:t>
            </w:r>
            <w:r>
              <w:rPr>
                <w:rFonts w:hint="cs"/>
                <w:rtl/>
              </w:rPr>
              <w:t>ג</w:t>
            </w:r>
            <w:r w:rsidRPr="00CC708C">
              <w:rPr>
                <w:rFonts w:hint="cs"/>
                <w:rtl/>
              </w:rPr>
              <w:t>)</w:t>
            </w:r>
            <w:r w:rsidRPr="00CC708C">
              <w:rPr>
                <w:rtl/>
              </w:rPr>
              <w:tab/>
            </w:r>
            <w:r w:rsidRPr="00CC708C">
              <w:rPr>
                <w:rFonts w:hint="cs"/>
                <w:rtl/>
              </w:rPr>
              <w:t>ראש מערך הגיור יקבע את סדרי המינהל של בתי הדין לגיור, והוא רשאי לקבוע כללי אתיקה לדייני גיור</w:t>
            </w:r>
            <w:r>
              <w:rPr>
                <w:rFonts w:hint="cs"/>
                <w:rtl/>
              </w:rPr>
              <w:t xml:space="preserve"> בהתייעצות עם</w:t>
            </w:r>
            <w:r w:rsidRPr="00CC708C">
              <w:rPr>
                <w:rFonts w:hint="cs"/>
                <w:rtl/>
              </w:rPr>
              <w:t xml:space="preserve"> הרב הראשי לישראל.</w:t>
            </w:r>
            <w:r>
              <w:rPr>
                <w:rFonts w:hint="cs"/>
                <w:rtl/>
              </w:rPr>
              <w:t>"</w:t>
            </w:r>
          </w:p>
        </w:tc>
      </w:tr>
      <w:tr w:rsidR="00321145" w:rsidRPr="00B563E8" w14:paraId="13B6FE28" w14:textId="77777777" w:rsidTr="00AA324E">
        <w:trPr>
          <w:cantSplit/>
        </w:trPr>
        <w:tc>
          <w:tcPr>
            <w:tcW w:w="1869" w:type="dxa"/>
            <w:shd w:val="clear" w:color="auto" w:fill="auto"/>
            <w:tcMar>
              <w:top w:w="91" w:type="dxa"/>
              <w:left w:w="0" w:type="dxa"/>
              <w:bottom w:w="91" w:type="dxa"/>
              <w:right w:w="0" w:type="dxa"/>
            </w:tcMar>
          </w:tcPr>
          <w:p w14:paraId="36815812" w14:textId="77777777" w:rsidR="00321145" w:rsidRPr="00B563E8" w:rsidRDefault="00321145" w:rsidP="00AA324E">
            <w:pPr>
              <w:pStyle w:val="TableSideHeading"/>
              <w:rPr>
                <w:rtl/>
              </w:rPr>
            </w:pPr>
            <w:r w:rsidRPr="00B563E8">
              <w:rPr>
                <w:rtl/>
              </w:rPr>
              <w:t>תחילה ותחולה</w:t>
            </w:r>
          </w:p>
        </w:tc>
        <w:tc>
          <w:tcPr>
            <w:tcW w:w="624" w:type="dxa"/>
            <w:shd w:val="clear" w:color="auto" w:fill="auto"/>
            <w:tcMar>
              <w:top w:w="91" w:type="dxa"/>
              <w:left w:w="0" w:type="dxa"/>
              <w:bottom w:w="91" w:type="dxa"/>
              <w:right w:w="0" w:type="dxa"/>
            </w:tcMar>
          </w:tcPr>
          <w:p w14:paraId="1B1C7698" w14:textId="77777777" w:rsidR="00321145" w:rsidRPr="00B563E8" w:rsidRDefault="00321145" w:rsidP="00AA324E">
            <w:pPr>
              <w:pStyle w:val="TableText"/>
              <w:rPr>
                <w:rtl/>
              </w:rPr>
            </w:pPr>
            <w:r w:rsidRPr="00B563E8">
              <w:rPr>
                <w:rtl/>
              </w:rPr>
              <w:t>3.</w:t>
            </w:r>
          </w:p>
        </w:tc>
        <w:tc>
          <w:tcPr>
            <w:tcW w:w="7145" w:type="dxa"/>
            <w:gridSpan w:val="7"/>
            <w:shd w:val="clear" w:color="auto" w:fill="auto"/>
            <w:tcMar>
              <w:top w:w="91" w:type="dxa"/>
              <w:left w:w="0" w:type="dxa"/>
              <w:bottom w:w="91" w:type="dxa"/>
              <w:right w:w="0" w:type="dxa"/>
            </w:tcMar>
          </w:tcPr>
          <w:p w14:paraId="2DFE66B5" w14:textId="3E556654" w:rsidR="00321145" w:rsidRPr="00B563E8" w:rsidRDefault="00321145" w:rsidP="00376397">
            <w:pPr>
              <w:pStyle w:val="TableBlock"/>
              <w:rPr>
                <w:rtl/>
              </w:rPr>
            </w:pPr>
            <w:r w:rsidRPr="00B563E8">
              <w:rPr>
                <w:rtl/>
              </w:rPr>
              <w:t>תחילתו של חוק זה 30 ימים מיום פרסומו (להלן – יום התחילה) והוא יחול על הליכי גיור שיחלו ביום התחילה ואילך.</w:t>
            </w:r>
          </w:p>
        </w:tc>
      </w:tr>
      <w:tr w:rsidR="00321145" w:rsidRPr="00B563E8" w14:paraId="18A8892C" w14:textId="77777777" w:rsidTr="00AA324E">
        <w:trPr>
          <w:cantSplit/>
        </w:trPr>
        <w:tc>
          <w:tcPr>
            <w:tcW w:w="1869" w:type="dxa"/>
            <w:shd w:val="clear" w:color="auto" w:fill="auto"/>
            <w:tcMar>
              <w:top w:w="91" w:type="dxa"/>
              <w:left w:w="0" w:type="dxa"/>
              <w:bottom w:w="91" w:type="dxa"/>
              <w:right w:w="0" w:type="dxa"/>
            </w:tcMar>
          </w:tcPr>
          <w:p w14:paraId="6E40F42F" w14:textId="77777777" w:rsidR="00321145" w:rsidRPr="00B563E8" w:rsidRDefault="00321145" w:rsidP="00AA324E">
            <w:pPr>
              <w:pStyle w:val="TableSideHeading"/>
              <w:rPr>
                <w:rtl/>
              </w:rPr>
            </w:pPr>
            <w:r w:rsidRPr="00B563E8">
              <w:rPr>
                <w:rtl/>
              </w:rPr>
              <w:t>הוראות מעבר</w:t>
            </w:r>
          </w:p>
        </w:tc>
        <w:tc>
          <w:tcPr>
            <w:tcW w:w="624" w:type="dxa"/>
            <w:shd w:val="clear" w:color="auto" w:fill="auto"/>
            <w:tcMar>
              <w:top w:w="91" w:type="dxa"/>
              <w:left w:w="0" w:type="dxa"/>
              <w:bottom w:w="91" w:type="dxa"/>
              <w:right w:w="0" w:type="dxa"/>
            </w:tcMar>
          </w:tcPr>
          <w:p w14:paraId="4CE49CFE" w14:textId="77777777" w:rsidR="00321145" w:rsidRPr="00B563E8" w:rsidRDefault="00321145" w:rsidP="00AA324E">
            <w:pPr>
              <w:pStyle w:val="TableText"/>
              <w:rPr>
                <w:rtl/>
              </w:rPr>
            </w:pPr>
            <w:r w:rsidRPr="00B563E8">
              <w:rPr>
                <w:rtl/>
              </w:rPr>
              <w:t>4.</w:t>
            </w:r>
          </w:p>
        </w:tc>
        <w:tc>
          <w:tcPr>
            <w:tcW w:w="7145" w:type="dxa"/>
            <w:gridSpan w:val="7"/>
            <w:shd w:val="clear" w:color="auto" w:fill="auto"/>
            <w:tcMar>
              <w:top w:w="91" w:type="dxa"/>
              <w:left w:w="0" w:type="dxa"/>
              <w:bottom w:w="91" w:type="dxa"/>
              <w:right w:w="0" w:type="dxa"/>
            </w:tcMar>
          </w:tcPr>
          <w:p w14:paraId="7967A818" w14:textId="386F4B4F" w:rsidR="00321145" w:rsidRPr="00B563E8" w:rsidRDefault="00321145" w:rsidP="00AA324E">
            <w:pPr>
              <w:pStyle w:val="TableBlock"/>
              <w:rPr>
                <w:rtl/>
              </w:rPr>
            </w:pPr>
            <w:r w:rsidRPr="00B563E8">
              <w:rPr>
                <w:rtl/>
              </w:rPr>
              <w:t>(א)</w:t>
            </w:r>
            <w:r w:rsidRPr="00B563E8">
              <w:rPr>
                <w:rtl/>
              </w:rPr>
              <w:tab/>
              <w:t xml:space="preserve">יראו את מערך הגיור שפעל </w:t>
            </w:r>
            <w:r>
              <w:rPr>
                <w:rFonts w:hint="cs"/>
                <w:rtl/>
              </w:rPr>
              <w:t>לפני</w:t>
            </w:r>
            <w:r w:rsidRPr="00B563E8">
              <w:rPr>
                <w:rtl/>
              </w:rPr>
              <w:t xml:space="preserve"> </w:t>
            </w:r>
            <w:r>
              <w:rPr>
                <w:rFonts w:hint="cs"/>
                <w:rtl/>
              </w:rPr>
              <w:t>יום התחילה</w:t>
            </w:r>
            <w:r w:rsidRPr="00B563E8">
              <w:rPr>
                <w:rtl/>
              </w:rPr>
              <w:t xml:space="preserve"> מכוח החלטת הממשלה</w:t>
            </w:r>
            <w:r>
              <w:rPr>
                <w:rFonts w:hint="cs"/>
                <w:rtl/>
              </w:rPr>
              <w:t xml:space="preserve"> </w:t>
            </w:r>
            <w:r w:rsidRPr="00B563E8">
              <w:rPr>
                <w:rtl/>
              </w:rPr>
              <w:t>מס' 3613 מיום י</w:t>
            </w:r>
            <w:r w:rsidR="00AE6195">
              <w:rPr>
                <w:rtl/>
              </w:rPr>
              <w:t>"א בניסן התשנ"ח (7 באפריל 1998)</w:t>
            </w:r>
            <w:r w:rsidRPr="00B563E8">
              <w:rPr>
                <w:rtl/>
              </w:rPr>
              <w:t xml:space="preserve"> כאילו הוקם כדין לפי הוראות חוק זה.</w:t>
            </w:r>
          </w:p>
        </w:tc>
      </w:tr>
      <w:tr w:rsidR="00321145" w:rsidRPr="00B563E8" w14:paraId="1FAC93CE" w14:textId="77777777" w:rsidTr="00AA324E">
        <w:trPr>
          <w:cantSplit/>
        </w:trPr>
        <w:tc>
          <w:tcPr>
            <w:tcW w:w="1869" w:type="dxa"/>
            <w:shd w:val="clear" w:color="auto" w:fill="auto"/>
            <w:tcMar>
              <w:top w:w="91" w:type="dxa"/>
              <w:left w:w="0" w:type="dxa"/>
              <w:bottom w:w="91" w:type="dxa"/>
              <w:right w:w="0" w:type="dxa"/>
            </w:tcMar>
          </w:tcPr>
          <w:p w14:paraId="14A3188E" w14:textId="77777777" w:rsidR="00321145" w:rsidRPr="00B563E8" w:rsidRDefault="00321145" w:rsidP="00AA324E">
            <w:pPr>
              <w:pStyle w:val="TableSideHeading"/>
              <w:rPr>
                <w:rtl/>
              </w:rPr>
            </w:pPr>
          </w:p>
        </w:tc>
        <w:tc>
          <w:tcPr>
            <w:tcW w:w="624" w:type="dxa"/>
            <w:shd w:val="clear" w:color="auto" w:fill="auto"/>
            <w:tcMar>
              <w:top w:w="91" w:type="dxa"/>
              <w:left w:w="0" w:type="dxa"/>
              <w:bottom w:w="91" w:type="dxa"/>
              <w:right w:w="0" w:type="dxa"/>
            </w:tcMar>
          </w:tcPr>
          <w:p w14:paraId="4FF1C292" w14:textId="77777777" w:rsidR="00321145" w:rsidRPr="00B563E8" w:rsidRDefault="00321145" w:rsidP="00AA324E">
            <w:pPr>
              <w:pStyle w:val="TableText"/>
              <w:rPr>
                <w:rtl/>
              </w:rPr>
            </w:pPr>
          </w:p>
        </w:tc>
        <w:tc>
          <w:tcPr>
            <w:tcW w:w="7145" w:type="dxa"/>
            <w:gridSpan w:val="7"/>
            <w:shd w:val="clear" w:color="auto" w:fill="auto"/>
            <w:tcMar>
              <w:top w:w="91" w:type="dxa"/>
              <w:left w:w="0" w:type="dxa"/>
              <w:bottom w:w="91" w:type="dxa"/>
              <w:right w:w="0" w:type="dxa"/>
            </w:tcMar>
          </w:tcPr>
          <w:p w14:paraId="08C243B8" w14:textId="0918F629" w:rsidR="00321145" w:rsidRPr="00B563E8" w:rsidRDefault="00321145" w:rsidP="00376397">
            <w:pPr>
              <w:pStyle w:val="TableBlock"/>
              <w:rPr>
                <w:rtl/>
              </w:rPr>
            </w:pPr>
            <w:r w:rsidRPr="00B563E8">
              <w:rPr>
                <w:rtl/>
              </w:rPr>
              <w:t>(ב)</w:t>
            </w:r>
            <w:r w:rsidRPr="00B563E8">
              <w:rPr>
                <w:rtl/>
              </w:rPr>
              <w:tab/>
              <w:t xml:space="preserve">יראו את דייני הגיור שכיהנו לפני </w:t>
            </w:r>
            <w:r>
              <w:rPr>
                <w:rFonts w:hint="cs"/>
                <w:rtl/>
              </w:rPr>
              <w:t>יום התחילה</w:t>
            </w:r>
            <w:r w:rsidRPr="00B563E8">
              <w:rPr>
                <w:rtl/>
              </w:rPr>
              <w:t xml:space="preserve"> מכוח החלטת הממשלה האמורה בסעיף קטן (א) כאילו מונו כדין לפי הוראות חוק זה.</w:t>
            </w:r>
          </w:p>
        </w:tc>
      </w:tr>
    </w:tbl>
    <w:p w14:paraId="3AAF14E3" w14:textId="77777777" w:rsidR="00321145" w:rsidRDefault="00321145" w:rsidP="00321145">
      <w:pPr>
        <w:pStyle w:val="HeadDivreiHesber"/>
        <w:rPr>
          <w:rtl/>
        </w:rPr>
      </w:pPr>
      <w:r w:rsidRPr="0027450A">
        <w:rPr>
          <w:rFonts w:hint="cs"/>
          <w:rtl/>
        </w:rPr>
        <w:t>דברי הסבר</w:t>
      </w:r>
    </w:p>
    <w:p w14:paraId="69C11424" w14:textId="05A0AA20" w:rsidR="00321145" w:rsidRDefault="00321145" w:rsidP="00AE6195">
      <w:pPr>
        <w:pStyle w:val="Hesber"/>
        <w:spacing w:line="276" w:lineRule="auto"/>
        <w:rPr>
          <w:rtl/>
        </w:rPr>
      </w:pPr>
      <w:r>
        <w:rPr>
          <w:rtl/>
        </w:rPr>
        <w:t>גיור הוא הלי</w:t>
      </w:r>
      <w:r>
        <w:rPr>
          <w:rFonts w:hint="cs"/>
          <w:rtl/>
        </w:rPr>
        <w:t>ך</w:t>
      </w:r>
      <w:r>
        <w:rPr>
          <w:rtl/>
        </w:rPr>
        <w:t xml:space="preserve"> המרת דתו של אדם בן דת אחרת ליהדות. חוק השבות, התש</w:t>
      </w:r>
      <w:r>
        <w:rPr>
          <w:rFonts w:hint="cs"/>
          <w:rtl/>
        </w:rPr>
        <w:t>"י</w:t>
      </w:r>
      <w:r>
        <w:rPr>
          <w:rtl/>
        </w:rPr>
        <w:t xml:space="preserve">–1950, קובע כי יהודי הוא </w:t>
      </w:r>
      <w:r>
        <w:rPr>
          <w:rFonts w:hint="cs"/>
          <w:rtl/>
        </w:rPr>
        <w:t>"</w:t>
      </w:r>
      <w:r>
        <w:rPr>
          <w:rtl/>
        </w:rPr>
        <w:t>מי</w:t>
      </w:r>
      <w:r>
        <w:rPr>
          <w:rFonts w:hint="cs"/>
          <w:rtl/>
        </w:rPr>
        <w:t xml:space="preserve"> </w:t>
      </w:r>
      <w:r>
        <w:rPr>
          <w:rtl/>
        </w:rPr>
        <w:t>שנולד לאם יהודייה או</w:t>
      </w:r>
      <w:r>
        <w:rPr>
          <w:rFonts w:hint="cs"/>
          <w:rtl/>
        </w:rPr>
        <w:t xml:space="preserve"> </w:t>
      </w:r>
      <w:r>
        <w:rPr>
          <w:rtl/>
        </w:rPr>
        <w:t>שהתגייר, והוא אינו בן דת אחר</w:t>
      </w:r>
      <w:r>
        <w:rPr>
          <w:rFonts w:hint="cs"/>
          <w:rtl/>
        </w:rPr>
        <w:t xml:space="preserve">ת." </w:t>
      </w:r>
      <w:r>
        <w:rPr>
          <w:rtl/>
        </w:rPr>
        <w:t xml:space="preserve">לפי דוח מבקר המדינה, </w:t>
      </w:r>
      <w:r>
        <w:rPr>
          <w:rFonts w:hint="cs"/>
          <w:rtl/>
        </w:rPr>
        <w:t xml:space="preserve">מבקר המדינה </w:t>
      </w:r>
      <w:r w:rsidRPr="00623B44">
        <w:rPr>
          <w:b/>
          <w:bCs/>
          <w:rtl/>
        </w:rPr>
        <w:t>דוח שנתי 63ג</w:t>
      </w:r>
      <w:r w:rsidRPr="00623B44">
        <w:rPr>
          <w:rFonts w:hint="cs"/>
          <w:b/>
          <w:bCs/>
          <w:rtl/>
        </w:rPr>
        <w:t xml:space="preserve"> </w:t>
      </w:r>
      <w:r w:rsidRPr="00623B44">
        <w:rPr>
          <w:b/>
          <w:bCs/>
          <w:rtl/>
        </w:rPr>
        <w:t>– לשנת 2012 ולחשבונות שנת הכספים 2011</w:t>
      </w:r>
      <w:r>
        <w:rPr>
          <w:rFonts w:hint="cs"/>
          <w:rtl/>
        </w:rPr>
        <w:t xml:space="preserve"> (2013) </w:t>
      </w:r>
      <w:r>
        <w:rPr>
          <w:rtl/>
        </w:rPr>
        <w:t>(להלן</w:t>
      </w:r>
      <w:r>
        <w:rPr>
          <w:rFonts w:hint="cs"/>
          <w:rtl/>
        </w:rPr>
        <w:t xml:space="preserve"> </w:t>
      </w:r>
      <w:r>
        <w:rPr>
          <w:rtl/>
        </w:rPr>
        <w:t>–</w:t>
      </w:r>
      <w:r>
        <w:rPr>
          <w:rFonts w:hint="cs"/>
          <w:rtl/>
        </w:rPr>
        <w:t xml:space="preserve"> </w:t>
      </w:r>
      <w:r>
        <w:rPr>
          <w:rtl/>
        </w:rPr>
        <w:t>דוח מבקר המדינה), בישראל מתגוררים כ-320,000 אזרחים שאינם נחשבים יהודים על פי ההלכה היהודית. חלקם עלו לארץ בגלי העלייה הגדולים של העשורים האחרונים ממדינות חבר העמים ומאתיופיה, מכוח חוק השבות, או נכנסו לארץ לפי חוק הכניסה לישראל, התשי"ב–1952. מער</w:t>
      </w:r>
      <w:r>
        <w:rPr>
          <w:rFonts w:hint="cs"/>
          <w:rtl/>
        </w:rPr>
        <w:t>ך</w:t>
      </w:r>
      <w:r>
        <w:rPr>
          <w:rtl/>
        </w:rPr>
        <w:t xml:space="preserve"> הגיור ובתי הדין המיוחדים לגיור הוקמו מכוח החלטות ממשלה מס</w:t>
      </w:r>
      <w:r>
        <w:rPr>
          <w:rFonts w:hint="cs"/>
          <w:rtl/>
        </w:rPr>
        <w:t>'</w:t>
      </w:r>
      <w:r>
        <w:rPr>
          <w:rtl/>
        </w:rPr>
        <w:t xml:space="preserve"> 3155 מיום</w:t>
      </w:r>
      <w:r>
        <w:rPr>
          <w:rFonts w:hint="cs"/>
          <w:rtl/>
        </w:rPr>
        <w:t xml:space="preserve"> (14 בפברואר 2008)</w:t>
      </w:r>
      <w:r>
        <w:rPr>
          <w:rtl/>
        </w:rPr>
        <w:t xml:space="preserve"> ומס</w:t>
      </w:r>
      <w:r>
        <w:rPr>
          <w:rFonts w:hint="cs"/>
          <w:rtl/>
        </w:rPr>
        <w:t>' 3613</w:t>
      </w:r>
      <w:r>
        <w:rPr>
          <w:rtl/>
        </w:rPr>
        <w:t xml:space="preserve"> מיום</w:t>
      </w:r>
      <w:r>
        <w:rPr>
          <w:rFonts w:hint="cs"/>
          <w:rtl/>
        </w:rPr>
        <w:t xml:space="preserve"> (7 באפריל 1998)</w:t>
      </w:r>
      <w:r>
        <w:rPr>
          <w:rtl/>
        </w:rPr>
        <w:t xml:space="preserve"> והגיורים בישראל מתבצעים באמצעות</w:t>
      </w:r>
      <w:r>
        <w:rPr>
          <w:rFonts w:hint="cs"/>
          <w:rtl/>
        </w:rPr>
        <w:t xml:space="preserve">ם. </w:t>
      </w:r>
      <w:r>
        <w:rPr>
          <w:rtl/>
        </w:rPr>
        <w:t>לפי ממצאי דוח מבקר המדינה, בשנים</w:t>
      </w:r>
      <w:r>
        <w:rPr>
          <w:rFonts w:hint="cs"/>
          <w:rtl/>
        </w:rPr>
        <w:t xml:space="preserve"> </w:t>
      </w:r>
      <w:r>
        <w:rPr>
          <w:rtl/>
        </w:rPr>
        <w:t>2007</w:t>
      </w:r>
      <w:r>
        <w:rPr>
          <w:rFonts w:hint="cs"/>
          <w:rtl/>
        </w:rPr>
        <w:t>-</w:t>
      </w:r>
      <w:r>
        <w:rPr>
          <w:rtl/>
        </w:rPr>
        <w:t xml:space="preserve">2011 חלה ירידה ניכרת בכמות המתגיירים בהשוואה לשנים שקדמו להן. </w:t>
      </w:r>
    </w:p>
    <w:p w14:paraId="2F2E9474" w14:textId="77777777" w:rsidR="00321145" w:rsidRPr="00A30B04" w:rsidRDefault="00321145" w:rsidP="00AE6195">
      <w:pPr>
        <w:pStyle w:val="Hesber"/>
        <w:spacing w:line="276" w:lineRule="auto"/>
        <w:rPr>
          <w:rtl/>
        </w:rPr>
      </w:pPr>
      <w:r>
        <w:rPr>
          <w:rFonts w:hint="cs"/>
          <w:rtl/>
        </w:rPr>
        <w:t>מטרת הצעת חוק זו היא</w:t>
      </w:r>
      <w:r>
        <w:rPr>
          <w:rtl/>
        </w:rPr>
        <w:t xml:space="preserve"> להתמודד עם המצב בו מתגוררים במדינת ישראל מספר גדול של אזרחים שאינם נחשבים יהודים לפי ההלכה היהודית, אבל מרגישים חלק מהעם </w:t>
      </w:r>
      <w:r>
        <w:rPr>
          <w:rFonts w:hint="cs"/>
          <w:rtl/>
        </w:rPr>
        <w:t>היהודי.</w:t>
      </w:r>
    </w:p>
    <w:p w14:paraId="2901E4C8" w14:textId="5966EA89" w:rsidR="00321145" w:rsidRDefault="00321145" w:rsidP="00AE6195">
      <w:pPr>
        <w:pStyle w:val="Hesber"/>
        <w:spacing w:line="276" w:lineRule="auto"/>
        <w:rPr>
          <w:rtl/>
        </w:rPr>
      </w:pPr>
      <w:r>
        <w:rPr>
          <w:rFonts w:hint="cs"/>
          <w:rtl/>
        </w:rPr>
        <w:t>הצעת חוק בנושא דומה הונחה על שלחן הכנסת התשע-עשרה על ידי חבר הכנסת אלעזר שטרן וקב</w:t>
      </w:r>
      <w:r w:rsidR="00AE6195">
        <w:rPr>
          <w:rFonts w:hint="cs"/>
          <w:rtl/>
        </w:rPr>
        <w:t>ו</w:t>
      </w:r>
      <w:bookmarkStart w:id="8" w:name="_GoBack"/>
      <w:bookmarkEnd w:id="8"/>
      <w:r>
        <w:rPr>
          <w:rFonts w:hint="cs"/>
          <w:rtl/>
        </w:rPr>
        <w:t>צת חברי הכנסת (פ/795/19).</w:t>
      </w:r>
    </w:p>
    <w:p w14:paraId="48B2A0CD" w14:textId="77777777" w:rsidR="00321145" w:rsidRPr="00617FE6" w:rsidRDefault="00321145" w:rsidP="00321145">
      <w:pPr>
        <w:pStyle w:val="Hesber"/>
        <w:rPr>
          <w:rtl/>
        </w:rPr>
      </w:pPr>
    </w:p>
    <w:p w14:paraId="43270F25" w14:textId="77777777" w:rsidR="00376397" w:rsidRDefault="00376397" w:rsidP="00AE6195">
      <w:pPr>
        <w:pStyle w:val="Hesber"/>
        <w:spacing w:line="276" w:lineRule="auto"/>
        <w:rPr>
          <w:color w:val="auto"/>
          <w:lang w:eastAsia="en-US"/>
        </w:rPr>
      </w:pPr>
      <w:r>
        <w:rPr>
          <w:rFonts w:hint="cs"/>
          <w:color w:val="auto"/>
          <w:rtl/>
          <w:lang w:eastAsia="en-US"/>
        </w:rPr>
        <w:t>---------------------------------</w:t>
      </w:r>
    </w:p>
    <w:p w14:paraId="4C7CE59E" w14:textId="77777777" w:rsidR="00376397" w:rsidRDefault="00376397" w:rsidP="00AE6195">
      <w:pPr>
        <w:pStyle w:val="Hesber"/>
        <w:spacing w:line="276" w:lineRule="auto"/>
        <w:rPr>
          <w:color w:val="auto"/>
          <w:rtl/>
          <w:lang w:eastAsia="en-US"/>
        </w:rPr>
      </w:pPr>
      <w:r>
        <w:rPr>
          <w:rFonts w:hint="cs"/>
          <w:color w:val="auto"/>
          <w:rtl/>
          <w:lang w:eastAsia="en-US"/>
        </w:rPr>
        <w:t>הוגשה ליו"ר הכנסת והסגנים</w:t>
      </w:r>
    </w:p>
    <w:p w14:paraId="6E81BCCE" w14:textId="77777777" w:rsidR="00376397" w:rsidRDefault="00376397" w:rsidP="00AE6195">
      <w:pPr>
        <w:pStyle w:val="Hesber"/>
        <w:spacing w:line="276" w:lineRule="auto"/>
        <w:rPr>
          <w:color w:val="auto"/>
          <w:rtl/>
          <w:lang w:eastAsia="en-US"/>
        </w:rPr>
      </w:pPr>
      <w:r>
        <w:rPr>
          <w:rFonts w:hint="cs"/>
          <w:color w:val="auto"/>
          <w:rtl/>
          <w:lang w:eastAsia="en-US"/>
        </w:rPr>
        <w:t>והונחה על שולחן הכנסת ביום</w:t>
      </w:r>
    </w:p>
    <w:p w14:paraId="7F6961CB" w14:textId="4077659D" w:rsidR="00E13C27" w:rsidRPr="00321145" w:rsidRDefault="00376397" w:rsidP="00AE6195">
      <w:pPr>
        <w:pStyle w:val="Hesber"/>
        <w:spacing w:line="276" w:lineRule="auto"/>
        <w:rPr>
          <w:rtl/>
        </w:rPr>
      </w:pPr>
      <w:r>
        <w:rPr>
          <w:rFonts w:hint="cs"/>
          <w:color w:val="auto"/>
          <w:rtl/>
          <w:lang w:eastAsia="en-US"/>
        </w:rPr>
        <w:t>כ"ט בשבט התשע"ו – 8.2.16</w:t>
      </w:r>
    </w:p>
    <w:sectPr w:rsidR="00E13C27" w:rsidRPr="00321145"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E6195">
      <w:rPr>
        <w:rStyle w:val="ab"/>
        <w:noProof/>
        <w:rtl/>
      </w:rPr>
      <w:t>7</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07CFB1A4" w14:textId="77777777" w:rsidR="00321145" w:rsidRDefault="00321145" w:rsidP="00321145">
      <w:pPr>
        <w:pStyle w:val="a4"/>
        <w:rPr>
          <w:rtl/>
        </w:rPr>
      </w:pPr>
      <w:r>
        <w:rPr>
          <w:rStyle w:val="a6"/>
        </w:rPr>
        <w:footnoteRef/>
      </w:r>
      <w:r>
        <w:rPr>
          <w:rtl/>
        </w:rPr>
        <w:t xml:space="preserve"> </w:t>
      </w:r>
      <w:r>
        <w:rPr>
          <w:rFonts w:hint="eastAsia"/>
          <w:rtl/>
        </w:rPr>
        <w:t>חוקי</w:t>
      </w:r>
      <w:r>
        <w:rPr>
          <w:rtl/>
        </w:rPr>
        <w:t xml:space="preserve"> א"י, כרך ב', עמ' (ע) 1269, (א) 1294</w:t>
      </w:r>
      <w:r>
        <w:rPr>
          <w:rFonts w:hint="cs"/>
          <w:rtl/>
        </w:rPr>
        <w:t>.</w:t>
      </w:r>
      <w:r>
        <w:rPr>
          <w:rtl/>
        </w:rPr>
        <w:t xml:space="preserve"> </w:t>
      </w:r>
    </w:p>
  </w:footnote>
  <w:footnote w:id="3">
    <w:p w14:paraId="45DE99E6" w14:textId="77777777" w:rsidR="00321145" w:rsidRDefault="00321145" w:rsidP="00321145">
      <w:pPr>
        <w:pStyle w:val="a4"/>
        <w:rPr>
          <w:rtl/>
        </w:rPr>
      </w:pPr>
      <w:r>
        <w:rPr>
          <w:rStyle w:val="a6"/>
        </w:rPr>
        <w:footnoteRef/>
      </w:r>
      <w:r>
        <w:rPr>
          <w:rtl/>
        </w:rPr>
        <w:t xml:space="preserve"> </w:t>
      </w:r>
      <w:r>
        <w:rPr>
          <w:rFonts w:hint="eastAsia"/>
          <w:rtl/>
        </w:rPr>
        <w:t>ס</w:t>
      </w:r>
      <w:r>
        <w:rPr>
          <w:rtl/>
        </w:rPr>
        <w:t>"ח התשט"ו, עמ' 68.</w:t>
      </w:r>
    </w:p>
  </w:footnote>
  <w:footnote w:id="4">
    <w:p w14:paraId="07C2E4AD" w14:textId="77777777" w:rsidR="00321145" w:rsidRDefault="00321145" w:rsidP="00321145">
      <w:pPr>
        <w:pStyle w:val="a4"/>
        <w:rPr>
          <w:rtl/>
        </w:rPr>
      </w:pPr>
      <w:r>
        <w:rPr>
          <w:rStyle w:val="a6"/>
        </w:rPr>
        <w:footnoteRef/>
      </w:r>
      <w:r>
        <w:rPr>
          <w:rtl/>
        </w:rPr>
        <w:t xml:space="preserve"> </w:t>
      </w:r>
      <w:r>
        <w:rPr>
          <w:rFonts w:hint="eastAsia"/>
          <w:rtl/>
        </w:rPr>
        <w:t>ס</w:t>
      </w:r>
      <w:r>
        <w:rPr>
          <w:rtl/>
        </w:rPr>
        <w:t>"ח התש"ם, עמ' 90.</w:t>
      </w:r>
    </w:p>
  </w:footnote>
  <w:footnote w:id="5">
    <w:p w14:paraId="5ACB6556" w14:textId="77777777" w:rsidR="00321145" w:rsidRDefault="00321145" w:rsidP="00321145">
      <w:pPr>
        <w:pStyle w:val="a4"/>
        <w:rPr>
          <w:rtl/>
        </w:rPr>
      </w:pPr>
      <w:r>
        <w:rPr>
          <w:rStyle w:val="a6"/>
        </w:rPr>
        <w:footnoteRef/>
      </w:r>
      <w:r>
        <w:rPr>
          <w:rtl/>
        </w:rPr>
        <w:t xml:space="preserve"> </w:t>
      </w:r>
      <w:r>
        <w:rPr>
          <w:rFonts w:hint="eastAsia"/>
          <w:rtl/>
        </w:rPr>
        <w:t>ס</w:t>
      </w:r>
      <w:r>
        <w:rPr>
          <w:rtl/>
        </w:rPr>
        <w:t>"ח התשט"ו, עמ' 171.</w:t>
      </w:r>
    </w:p>
  </w:footnote>
  <w:footnote w:id="6">
    <w:p w14:paraId="47FB7FB0" w14:textId="77777777" w:rsidR="00321145" w:rsidRDefault="00321145" w:rsidP="00321145">
      <w:pPr>
        <w:pStyle w:val="a4"/>
        <w:rPr>
          <w:rtl/>
        </w:rPr>
      </w:pPr>
      <w:r>
        <w:rPr>
          <w:rStyle w:val="a6"/>
        </w:rPr>
        <w:footnoteRef/>
      </w:r>
      <w:r>
        <w:rPr>
          <w:rtl/>
        </w:rPr>
        <w:t xml:space="preserve"> </w:t>
      </w:r>
      <w:r>
        <w:rPr>
          <w:rFonts w:hint="eastAsia"/>
          <w:rtl/>
        </w:rPr>
        <w:t>ס</w:t>
      </w:r>
      <w:r>
        <w:rPr>
          <w:rtl/>
        </w:rPr>
        <w:t>"ח התשי"ב, עמ' 354.</w:t>
      </w:r>
    </w:p>
  </w:footnote>
  <w:footnote w:id="7">
    <w:p w14:paraId="165E6EE9" w14:textId="77777777" w:rsidR="00321145" w:rsidRDefault="00321145" w:rsidP="00321145">
      <w:pPr>
        <w:pStyle w:val="a4"/>
        <w:rPr>
          <w:rtl/>
        </w:rPr>
      </w:pPr>
      <w:r>
        <w:rPr>
          <w:rStyle w:val="a6"/>
        </w:rPr>
        <w:footnoteRef/>
      </w:r>
      <w:r>
        <w:rPr>
          <w:rtl/>
        </w:rPr>
        <w:t xml:space="preserve"> </w:t>
      </w:r>
      <w:r>
        <w:rPr>
          <w:rFonts w:hint="eastAsia"/>
          <w:rtl/>
        </w:rPr>
        <w:t>ס</w:t>
      </w:r>
      <w:r>
        <w:rPr>
          <w:rtl/>
        </w:rPr>
        <w:t>"ח התש"י, עמ' 159.</w:t>
      </w:r>
    </w:p>
  </w:footnote>
  <w:footnote w:id="8">
    <w:p w14:paraId="3FD1B0AB" w14:textId="77777777" w:rsidR="00321145" w:rsidRDefault="00321145" w:rsidP="00321145">
      <w:pPr>
        <w:pStyle w:val="a4"/>
        <w:rPr>
          <w:rtl/>
        </w:rPr>
      </w:pPr>
      <w:r>
        <w:rPr>
          <w:rStyle w:val="a6"/>
        </w:rPr>
        <w:footnoteRef/>
      </w:r>
      <w:r>
        <w:rPr>
          <w:rtl/>
        </w:rPr>
        <w:t xml:space="preserve"> </w:t>
      </w:r>
      <w:r>
        <w:rPr>
          <w:rFonts w:hint="cs"/>
          <w:rtl/>
        </w:rPr>
        <w:t>ס"ח התשמ"ו, עמ' 107.</w:t>
      </w:r>
    </w:p>
  </w:footnote>
  <w:footnote w:id="9">
    <w:p w14:paraId="6A7369A8" w14:textId="77777777" w:rsidR="00321145" w:rsidRDefault="00321145" w:rsidP="00321145">
      <w:pPr>
        <w:pStyle w:val="a4"/>
        <w:rPr>
          <w:rtl/>
        </w:rPr>
      </w:pPr>
      <w:r>
        <w:rPr>
          <w:rStyle w:val="a6"/>
        </w:rPr>
        <w:footnoteRef/>
      </w:r>
      <w:r>
        <w:rPr>
          <w:rtl/>
        </w:rPr>
        <w:t xml:space="preserve"> </w:t>
      </w:r>
      <w:r>
        <w:rPr>
          <w:rFonts w:hint="eastAsia"/>
          <w:rtl/>
        </w:rPr>
        <w:t>ס</w:t>
      </w:r>
      <w:r>
        <w:rPr>
          <w:rtl/>
        </w:rPr>
        <w:t>"ח התשל"א, עמ' 130.</w:t>
      </w:r>
    </w:p>
  </w:footnote>
  <w:footnote w:id="10">
    <w:p w14:paraId="68A9548E" w14:textId="77777777" w:rsidR="00321145" w:rsidRDefault="00321145" w:rsidP="00321145">
      <w:pPr>
        <w:pStyle w:val="a4"/>
        <w:rPr>
          <w:rtl/>
        </w:rPr>
      </w:pPr>
      <w:r>
        <w:rPr>
          <w:rStyle w:val="a6"/>
        </w:rPr>
        <w:footnoteRef/>
      </w:r>
      <w:r>
        <w:rPr>
          <w:rtl/>
        </w:rPr>
        <w:t xml:space="preserve"> </w:t>
      </w:r>
      <w:r>
        <w:rPr>
          <w:rFonts w:hint="eastAsia"/>
          <w:rtl/>
        </w:rPr>
        <w:t>ס</w:t>
      </w:r>
      <w:r>
        <w:rPr>
          <w:rtl/>
        </w:rPr>
        <w:t>"ח התשי"ט, עמ' 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1145"/>
    <w:rsid w:val="003232A2"/>
    <w:rsid w:val="00325C14"/>
    <w:rsid w:val="0036422C"/>
    <w:rsid w:val="003710F6"/>
    <w:rsid w:val="00376397"/>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17FE6"/>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E6195"/>
    <w:rsid w:val="00B10265"/>
    <w:rsid w:val="00B16A99"/>
    <w:rsid w:val="00B21211"/>
    <w:rsid w:val="00B35784"/>
    <w:rsid w:val="00B733A7"/>
    <w:rsid w:val="00B75C91"/>
    <w:rsid w:val="00B975AD"/>
    <w:rsid w:val="00BC45FB"/>
    <w:rsid w:val="00BE7DF4"/>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E09C4DD-9A42-4C6D-9FCB-F1B4EB87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locked/>
    <w:rsid w:val="00617FE6"/>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E7B91545-E658-433C-93BD-7FDBD0AB5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7E9868-D62E-4F19-A6DC-6E9FB58A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1423</Words>
  <Characters>7116</Characters>
  <Application>Microsoft Office Word</Application>
  <DocSecurity>0</DocSecurity>
  <Lines>59</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cp:revision>
  <cp:lastPrinted>2016-02-04T08:41:00Z</cp:lastPrinted>
  <dcterms:created xsi:type="dcterms:W3CDTF">2015-04-20T09:58:00Z</dcterms:created>
  <dcterms:modified xsi:type="dcterms:W3CDTF">2016-02-04T08:41:00Z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574097</vt:r8>
  </property>
</Properties>
</file>