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8028E" w14:textId="77777777" w:rsidR="00BB1B45" w:rsidRPr="0000131B" w:rsidRDefault="00BB1B45" w:rsidP="00BB1B45">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570833</w:t>
      </w:r>
      <w:bookmarkEnd w:id="0"/>
    </w:p>
    <w:p w14:paraId="00B6C4A7" w14:textId="77777777" w:rsidR="00BB1B45" w:rsidRPr="00DB7060" w:rsidRDefault="00BB1B45" w:rsidP="00BB1B45">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EA2DD95" w14:textId="77777777" w:rsidR="00BB1B45" w:rsidRPr="00F67051" w:rsidRDefault="00BB1B45" w:rsidP="00BB1B45">
      <w:pPr>
        <w:rPr>
          <w:rFonts w:cs="David"/>
          <w:b/>
          <w:bCs/>
          <w:sz w:val="26"/>
          <w:szCs w:val="26"/>
          <w:rtl/>
        </w:rPr>
      </w:pPr>
    </w:p>
    <w:p w14:paraId="491B8FB2" w14:textId="77777777" w:rsidR="00BB1B45" w:rsidRDefault="00BB1B45" w:rsidP="00BB1B45">
      <w:pPr>
        <w:pStyle w:val="David"/>
        <w:spacing w:line="360" w:lineRule="auto"/>
        <w:ind w:left="3544"/>
        <w:rPr>
          <w:b/>
          <w:bCs/>
          <w:rtl/>
        </w:rPr>
      </w:pPr>
      <w:bookmarkStart w:id="2" w:name="LGS_Initiators_List"/>
      <w:r>
        <w:rPr>
          <w:b/>
          <w:bCs/>
          <w:rtl/>
        </w:rPr>
        <w:t>יוזמים:      חברי הכנסת</w:t>
      </w:r>
      <w:bookmarkEnd w:id="2"/>
      <w:r w:rsidRPr="00F67051">
        <w:rPr>
          <w:b/>
          <w:bCs/>
        </w:rPr>
        <w:tab/>
      </w:r>
      <w:bookmarkStart w:id="3" w:name="LGS_PM_Names"/>
      <w:r>
        <w:rPr>
          <w:rFonts w:hint="cs"/>
          <w:b/>
          <w:bCs/>
          <w:rtl/>
        </w:rPr>
        <w:t>יעקב מרגי</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נורית קורן</w:t>
      </w:r>
      <w:r>
        <w:br/>
      </w:r>
      <w:r>
        <w:rPr>
          <w:rFonts w:hint="cs"/>
          <w:b/>
          <w:bCs/>
          <w:rtl/>
        </w:rPr>
        <w:t xml:space="preserve"> </w:t>
      </w:r>
      <w:r>
        <w:tab/>
      </w:r>
      <w:r>
        <w:tab/>
      </w:r>
      <w:r>
        <w:tab/>
      </w:r>
      <w:r>
        <w:tab/>
      </w:r>
      <w:r>
        <w:rPr>
          <w:rFonts w:hint="cs"/>
          <w:b/>
          <w:bCs/>
          <w:rtl/>
        </w:rPr>
        <w:t>מאיר כהן</w:t>
      </w:r>
      <w:bookmarkEnd w:id="3"/>
    </w:p>
    <w:p w14:paraId="41647AB4" w14:textId="77777777" w:rsidR="00BB1B45" w:rsidRPr="00CF1AA2" w:rsidRDefault="00BB1B45" w:rsidP="00BB1B45">
      <w:pPr>
        <w:pStyle w:val="David"/>
        <w:spacing w:before="0" w:line="360" w:lineRule="auto"/>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46C41977" w14:textId="77777777" w:rsidR="00BB1B45" w:rsidRPr="00904591" w:rsidRDefault="00BB1B45" w:rsidP="00BB1B45">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6C11CE68" w14:textId="77777777" w:rsidR="00BB1B45" w:rsidRPr="00E06736" w:rsidRDefault="00BB1B45" w:rsidP="00BB1B45">
      <w:pPr>
        <w:pStyle w:val="David"/>
        <w:spacing w:before="0" w:line="240" w:lineRule="auto"/>
        <w:ind w:left="3544"/>
        <w:rPr>
          <w:rtl/>
        </w:rPr>
      </w:pPr>
      <w:r>
        <w:t xml:space="preserve">                                             </w:t>
      </w:r>
      <w:bookmarkStart w:id="6" w:name="Private_Number"/>
      <w:r>
        <w:rPr>
          <w:rFonts w:hint="cs"/>
          <w:rtl/>
        </w:rPr>
        <w:t>פ/2358/20</w:t>
      </w:r>
      <w:bookmarkEnd w:id="6"/>
    </w:p>
    <w:p w14:paraId="0228665E" w14:textId="77777777" w:rsidR="00BB1B45" w:rsidRDefault="00BB1B45" w:rsidP="00BB1B45">
      <w:pPr>
        <w:spacing w:before="0" w:line="360" w:lineRule="auto"/>
        <w:ind w:left="2880" w:firstLine="720"/>
        <w:rPr>
          <w:rFonts w:cs="David"/>
          <w:sz w:val="26"/>
          <w:szCs w:val="26"/>
          <w:rtl/>
        </w:rPr>
      </w:pPr>
    </w:p>
    <w:p w14:paraId="62EBDDEB" w14:textId="77777777" w:rsidR="00BB1B45" w:rsidRPr="00F67051" w:rsidRDefault="00BB1B45" w:rsidP="00BB1B45">
      <w:pPr>
        <w:pStyle w:val="HeadHatzaotHok"/>
        <w:rPr>
          <w:rtl/>
        </w:rPr>
      </w:pPr>
      <w:bookmarkStart w:id="7" w:name="LGS_Subject"/>
      <w:r>
        <w:rPr>
          <w:rFonts w:hint="cs"/>
          <w:rtl/>
        </w:rPr>
        <w:t>הצעת חוק חינוך ממלכתי (תיקון – שלילת תקצוב וקביעת אזורי רישום), התשע"ו–2015</w:t>
      </w:r>
      <w:bookmarkEnd w:id="7"/>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4649"/>
      </w:tblGrid>
      <w:tr w:rsidR="00BB1B45" w14:paraId="75D85FC0" w14:textId="77777777" w:rsidTr="000A6E4B">
        <w:trPr>
          <w:cantSplit/>
        </w:trPr>
        <w:tc>
          <w:tcPr>
            <w:tcW w:w="1870" w:type="dxa"/>
            <w:hideMark/>
          </w:tcPr>
          <w:p w14:paraId="0DAD5BF0" w14:textId="77777777" w:rsidR="00BB1B45" w:rsidRDefault="00BB1B45" w:rsidP="00825229">
            <w:pPr>
              <w:pStyle w:val="TableSideHeading"/>
              <w:keepLines w:val="0"/>
            </w:pPr>
            <w:r>
              <w:rPr>
                <w:rtl/>
              </w:rPr>
              <w:t>תיקון סעיף 11</w:t>
            </w:r>
          </w:p>
        </w:tc>
        <w:tc>
          <w:tcPr>
            <w:tcW w:w="624" w:type="dxa"/>
          </w:tcPr>
          <w:p w14:paraId="4EACCF51" w14:textId="77777777" w:rsidR="00BB1B45" w:rsidRDefault="00BB1B45" w:rsidP="00825229">
            <w:pPr>
              <w:pStyle w:val="TableText"/>
              <w:keepLines w:val="0"/>
              <w:textAlignment w:val="auto"/>
            </w:pPr>
            <w:r>
              <w:rPr>
                <w:rtl/>
              </w:rPr>
              <w:t>1.</w:t>
            </w:r>
          </w:p>
        </w:tc>
        <w:tc>
          <w:tcPr>
            <w:tcW w:w="7145" w:type="dxa"/>
            <w:gridSpan w:val="5"/>
            <w:hideMark/>
          </w:tcPr>
          <w:p w14:paraId="569A3B0E" w14:textId="77777777" w:rsidR="00BB1B45" w:rsidRDefault="00BB1B45" w:rsidP="000A6E4B">
            <w:pPr>
              <w:pStyle w:val="TableBlock"/>
              <w:tabs>
                <w:tab w:val="left" w:pos="624"/>
                <w:tab w:val="left" w:pos="1247"/>
              </w:tabs>
            </w:pPr>
            <w:r>
              <w:rPr>
                <w:rtl/>
              </w:rPr>
              <w:t>בחוק חינוך ממלכתי, התשי"ג–1953</w:t>
            </w:r>
            <w:r>
              <w:rPr>
                <w:rStyle w:val="a6"/>
                <w:rtl/>
              </w:rPr>
              <w:footnoteReference w:id="2"/>
            </w:r>
            <w:r>
              <w:rPr>
                <w:rtl/>
              </w:rPr>
              <w:t xml:space="preserve"> (להלן – החוק העיקרי), בסעיף 11, האמור בו יסומן "(א)" ואחריו יבוא:</w:t>
            </w:r>
          </w:p>
        </w:tc>
      </w:tr>
      <w:tr w:rsidR="00BB1B45" w14:paraId="7F90A05F" w14:textId="77777777" w:rsidTr="000A6E4B">
        <w:trPr>
          <w:cantSplit/>
        </w:trPr>
        <w:tc>
          <w:tcPr>
            <w:tcW w:w="1870" w:type="dxa"/>
          </w:tcPr>
          <w:p w14:paraId="08DE3686" w14:textId="77777777" w:rsidR="00BB1B45" w:rsidRDefault="00BB1B45" w:rsidP="00825229">
            <w:pPr>
              <w:pStyle w:val="TableSideHeading"/>
              <w:keepLines w:val="0"/>
            </w:pPr>
          </w:p>
        </w:tc>
        <w:tc>
          <w:tcPr>
            <w:tcW w:w="624" w:type="dxa"/>
          </w:tcPr>
          <w:p w14:paraId="4FDE6A33" w14:textId="77777777" w:rsidR="00BB1B45" w:rsidRDefault="00BB1B45" w:rsidP="00825229">
            <w:pPr>
              <w:pStyle w:val="TableText"/>
            </w:pPr>
          </w:p>
        </w:tc>
        <w:tc>
          <w:tcPr>
            <w:tcW w:w="7145" w:type="dxa"/>
            <w:gridSpan w:val="5"/>
            <w:hideMark/>
          </w:tcPr>
          <w:p w14:paraId="229D1739" w14:textId="77777777" w:rsidR="00BB1B45" w:rsidRDefault="00BB1B45" w:rsidP="000A6E4B">
            <w:pPr>
              <w:pStyle w:val="TableBlock"/>
              <w:tabs>
                <w:tab w:val="left" w:pos="624"/>
                <w:tab w:val="left" w:pos="1247"/>
              </w:tabs>
            </w:pPr>
            <w:r>
              <w:rPr>
                <w:rtl/>
              </w:rPr>
              <w:t>"(ב)</w:t>
            </w:r>
            <w:r>
              <w:rPr>
                <w:rtl/>
              </w:rPr>
              <w:tab/>
              <w:t>נוכח השר כי מוסד חינוך שהוכר כאמור בסעיף קטן (א) עבר על הוראות איסור ההפליה שבסעיף 5(א) לחוק זכויות התלמיד, התשס"א–2000</w:t>
            </w:r>
            <w:r>
              <w:rPr>
                <w:rStyle w:val="a6"/>
                <w:rtl/>
              </w:rPr>
              <w:footnoteReference w:id="3"/>
            </w:r>
            <w:r>
              <w:rPr>
                <w:rtl/>
              </w:rPr>
              <w:t>, ישלח התראה בכתב לבעל מוסד החינוך בדרישה להפסיק את ההפליה; לא הפסיק מוסד החינוך את ההפליה בתוך המועד הנקוב בהתראה, תישלל ממנו השתתפות המדינה בתקציבו."</w:t>
            </w:r>
          </w:p>
        </w:tc>
      </w:tr>
      <w:tr w:rsidR="00BB1B45" w14:paraId="7140DE45" w14:textId="77777777" w:rsidTr="000A6E4B">
        <w:trPr>
          <w:cantSplit/>
        </w:trPr>
        <w:tc>
          <w:tcPr>
            <w:tcW w:w="1870" w:type="dxa"/>
            <w:hideMark/>
          </w:tcPr>
          <w:p w14:paraId="6A656554" w14:textId="77777777" w:rsidR="00BB1B45" w:rsidRPr="000A6E4B" w:rsidRDefault="00BB1B45" w:rsidP="000A6E4B">
            <w:pPr>
              <w:pStyle w:val="TableSideHeading"/>
              <w:tabs>
                <w:tab w:val="left" w:pos="624"/>
                <w:tab w:val="left" w:pos="1247"/>
              </w:tabs>
              <w:ind w:right="0"/>
            </w:pPr>
            <w:r w:rsidRPr="000A6E4B">
              <w:rPr>
                <w:rtl/>
              </w:rPr>
              <w:t>הוספת סעיף 11ב</w:t>
            </w:r>
          </w:p>
        </w:tc>
        <w:tc>
          <w:tcPr>
            <w:tcW w:w="624" w:type="dxa"/>
          </w:tcPr>
          <w:p w14:paraId="4EED3B6E" w14:textId="77777777" w:rsidR="00BB1B45" w:rsidRDefault="00BB1B45" w:rsidP="00825229">
            <w:pPr>
              <w:pStyle w:val="TableText"/>
              <w:keepLines w:val="0"/>
              <w:textAlignment w:val="auto"/>
            </w:pPr>
            <w:r>
              <w:rPr>
                <w:rtl/>
              </w:rPr>
              <w:t>2.</w:t>
            </w:r>
          </w:p>
        </w:tc>
        <w:tc>
          <w:tcPr>
            <w:tcW w:w="7145" w:type="dxa"/>
            <w:gridSpan w:val="5"/>
            <w:hideMark/>
          </w:tcPr>
          <w:p w14:paraId="7E0DC4B9" w14:textId="77777777" w:rsidR="00BB1B45" w:rsidRDefault="00BB1B45" w:rsidP="000A6E4B">
            <w:pPr>
              <w:pStyle w:val="TableBlock"/>
              <w:tabs>
                <w:tab w:val="left" w:pos="624"/>
                <w:tab w:val="left" w:pos="1247"/>
              </w:tabs>
            </w:pPr>
            <w:r>
              <w:rPr>
                <w:rtl/>
              </w:rPr>
              <w:t>אחרי סעיף 11א לחוק העיקרי יבוא:</w:t>
            </w:r>
          </w:p>
        </w:tc>
      </w:tr>
      <w:tr w:rsidR="000A6E4B" w14:paraId="05B0625B" w14:textId="77777777" w:rsidTr="000A6E4B">
        <w:trPr>
          <w:cantSplit/>
          <w:trHeight w:val="60"/>
        </w:trPr>
        <w:tc>
          <w:tcPr>
            <w:tcW w:w="1870" w:type="dxa"/>
          </w:tcPr>
          <w:p w14:paraId="58DF12D5" w14:textId="59996198" w:rsidR="000A6E4B" w:rsidRDefault="000A6E4B" w:rsidP="000A6E4B">
            <w:pPr>
              <w:pStyle w:val="TableSideHeading"/>
              <w:keepLines w:val="0"/>
            </w:pPr>
          </w:p>
        </w:tc>
        <w:tc>
          <w:tcPr>
            <w:tcW w:w="624" w:type="dxa"/>
          </w:tcPr>
          <w:p w14:paraId="00E24EED" w14:textId="77777777" w:rsidR="000A6E4B" w:rsidRDefault="000A6E4B" w:rsidP="000A6E4B">
            <w:pPr>
              <w:pStyle w:val="TableText"/>
              <w:keepLines w:val="0"/>
            </w:pPr>
          </w:p>
        </w:tc>
        <w:tc>
          <w:tcPr>
            <w:tcW w:w="1872" w:type="dxa"/>
            <w:gridSpan w:val="3"/>
          </w:tcPr>
          <w:p w14:paraId="04FA808A" w14:textId="70A7A3A2" w:rsidR="000A6E4B" w:rsidRPr="000A6E4B" w:rsidRDefault="000A6E4B" w:rsidP="000A6E4B">
            <w:pPr>
              <w:pStyle w:val="TableInnerSideHeading"/>
              <w:ind w:right="0"/>
            </w:pPr>
            <w:r w:rsidRPr="000A6E4B">
              <w:rPr>
                <w:rtl/>
              </w:rPr>
              <w:t>"קביעת אזורי רישום למוסדות חינוך מוכרים לא רשמיים</w:t>
            </w:r>
          </w:p>
        </w:tc>
        <w:tc>
          <w:tcPr>
            <w:tcW w:w="624" w:type="dxa"/>
          </w:tcPr>
          <w:p w14:paraId="1921E895" w14:textId="6A3D7D87" w:rsidR="000A6E4B" w:rsidRPr="000A6E4B" w:rsidRDefault="000A6E4B" w:rsidP="000A6E4B">
            <w:pPr>
              <w:pStyle w:val="TableText"/>
              <w:ind w:right="0"/>
              <w:jc w:val="both"/>
              <w:rPr>
                <w:rFonts w:hint="cs"/>
              </w:rPr>
            </w:pPr>
            <w:r w:rsidRPr="000A6E4B">
              <w:rPr>
                <w:rtl/>
              </w:rPr>
              <w:t>11ב.</w:t>
            </w:r>
          </w:p>
        </w:tc>
        <w:tc>
          <w:tcPr>
            <w:tcW w:w="4649" w:type="dxa"/>
          </w:tcPr>
          <w:p w14:paraId="44E44ED0" w14:textId="088B0DB4" w:rsidR="000A6E4B" w:rsidRPr="000A6E4B" w:rsidRDefault="000A6E4B" w:rsidP="000A6E4B">
            <w:pPr>
              <w:pStyle w:val="TableBlock"/>
            </w:pPr>
            <w:r w:rsidRPr="000A6E4B">
              <w:rPr>
                <w:rFonts w:hint="cs"/>
                <w:rtl/>
              </w:rPr>
              <w:t>(א)</w:t>
            </w:r>
            <w:r w:rsidRPr="000A6E4B">
              <w:rPr>
                <w:rtl/>
              </w:rPr>
              <w:tab/>
              <w:t>כל רשות חינוך מקומית תקבע, באישור מנהל המחוז, למוסדות חינוך מוכרים לא רשמיים על יסודיים שבתחום שיפוטה, אזורי רישום; לעניין סעיף זה, "מנהל המחוז" – מנהל הלשכה המחוזית של משרד החינוך.</w:t>
            </w:r>
          </w:p>
        </w:tc>
      </w:tr>
      <w:tr w:rsidR="000A6E4B" w14:paraId="0E4E1B52" w14:textId="77777777" w:rsidTr="000A6E4B">
        <w:trPr>
          <w:cantSplit/>
        </w:trPr>
        <w:tc>
          <w:tcPr>
            <w:tcW w:w="1870" w:type="dxa"/>
          </w:tcPr>
          <w:p w14:paraId="44ABCCF0" w14:textId="6F90016E" w:rsidR="000A6E4B" w:rsidRDefault="000A6E4B" w:rsidP="000A6E4B">
            <w:pPr>
              <w:pStyle w:val="TableSideHeading"/>
              <w:ind w:right="0"/>
            </w:pPr>
          </w:p>
        </w:tc>
        <w:tc>
          <w:tcPr>
            <w:tcW w:w="624" w:type="dxa"/>
          </w:tcPr>
          <w:p w14:paraId="0DE1D9EC" w14:textId="77777777" w:rsidR="000A6E4B" w:rsidRDefault="000A6E4B" w:rsidP="000A6E4B">
            <w:pPr>
              <w:pStyle w:val="TableText"/>
              <w:ind w:right="0"/>
              <w:jc w:val="both"/>
            </w:pPr>
          </w:p>
        </w:tc>
        <w:tc>
          <w:tcPr>
            <w:tcW w:w="624" w:type="dxa"/>
          </w:tcPr>
          <w:p w14:paraId="2C71F832" w14:textId="77777777" w:rsidR="000A6E4B" w:rsidRPr="000A6E4B" w:rsidRDefault="000A6E4B" w:rsidP="000A6E4B">
            <w:pPr>
              <w:pStyle w:val="TableText"/>
              <w:ind w:right="0"/>
              <w:jc w:val="both"/>
            </w:pPr>
          </w:p>
        </w:tc>
        <w:tc>
          <w:tcPr>
            <w:tcW w:w="624" w:type="dxa"/>
          </w:tcPr>
          <w:p w14:paraId="2B4B5841" w14:textId="77777777" w:rsidR="000A6E4B" w:rsidRDefault="000A6E4B" w:rsidP="000A6E4B">
            <w:pPr>
              <w:pStyle w:val="TableText"/>
              <w:ind w:right="0"/>
              <w:jc w:val="both"/>
            </w:pPr>
          </w:p>
        </w:tc>
        <w:tc>
          <w:tcPr>
            <w:tcW w:w="624" w:type="dxa"/>
          </w:tcPr>
          <w:p w14:paraId="2BEE52B9" w14:textId="393C35F4" w:rsidR="000A6E4B" w:rsidRPr="000A6E4B" w:rsidRDefault="000A6E4B" w:rsidP="000A6E4B">
            <w:pPr>
              <w:pStyle w:val="TableText"/>
              <w:ind w:right="0"/>
              <w:jc w:val="both"/>
            </w:pPr>
          </w:p>
        </w:tc>
        <w:tc>
          <w:tcPr>
            <w:tcW w:w="624" w:type="dxa"/>
          </w:tcPr>
          <w:p w14:paraId="76FDE95F" w14:textId="405D86FF" w:rsidR="000A6E4B" w:rsidRPr="000A6E4B" w:rsidRDefault="000A6E4B" w:rsidP="000A6E4B">
            <w:pPr>
              <w:pStyle w:val="TableText"/>
              <w:ind w:right="0"/>
              <w:jc w:val="both"/>
            </w:pPr>
          </w:p>
        </w:tc>
        <w:tc>
          <w:tcPr>
            <w:tcW w:w="4648" w:type="dxa"/>
          </w:tcPr>
          <w:p w14:paraId="04857109" w14:textId="79C75836" w:rsidR="000A6E4B" w:rsidRPr="000A6E4B" w:rsidRDefault="000A6E4B" w:rsidP="000A6E4B">
            <w:pPr>
              <w:pStyle w:val="TableBlock"/>
            </w:pPr>
            <w:r w:rsidRPr="000A6E4B">
              <w:rPr>
                <w:rFonts w:hint="cs"/>
                <w:rtl/>
              </w:rPr>
              <w:t>(ב)</w:t>
            </w:r>
            <w:r w:rsidRPr="000A6E4B">
              <w:rPr>
                <w:rtl/>
              </w:rPr>
              <w:tab/>
              <w:t>השר, באישור ועדת החינוך, התרבות והספורט של הכנסת, יתקין תקנות לביצוע סעיף זה."</w:t>
            </w:r>
          </w:p>
        </w:tc>
      </w:tr>
      <w:tr w:rsidR="000A6E4B" w14:paraId="4504D761" w14:textId="77777777" w:rsidTr="000A6E4B">
        <w:trPr>
          <w:cantSplit/>
        </w:trPr>
        <w:tc>
          <w:tcPr>
            <w:tcW w:w="1870" w:type="dxa"/>
            <w:hideMark/>
          </w:tcPr>
          <w:p w14:paraId="657AE357" w14:textId="77777777" w:rsidR="000A6E4B" w:rsidRDefault="000A6E4B" w:rsidP="000A6E4B">
            <w:pPr>
              <w:pStyle w:val="TableSideHeading"/>
              <w:keepLines w:val="0"/>
            </w:pPr>
            <w:r>
              <w:rPr>
                <w:rtl/>
              </w:rPr>
              <w:lastRenderedPageBreak/>
              <w:t>תקנות ראשונות</w:t>
            </w:r>
          </w:p>
        </w:tc>
        <w:tc>
          <w:tcPr>
            <w:tcW w:w="624" w:type="dxa"/>
          </w:tcPr>
          <w:p w14:paraId="3670768B" w14:textId="77777777" w:rsidR="000A6E4B" w:rsidRDefault="000A6E4B" w:rsidP="000A6E4B">
            <w:pPr>
              <w:pStyle w:val="TableText"/>
              <w:keepLines w:val="0"/>
              <w:textAlignment w:val="auto"/>
            </w:pPr>
            <w:r>
              <w:rPr>
                <w:rtl/>
              </w:rPr>
              <w:t>3.</w:t>
            </w:r>
          </w:p>
        </w:tc>
        <w:tc>
          <w:tcPr>
            <w:tcW w:w="7145" w:type="dxa"/>
            <w:gridSpan w:val="5"/>
            <w:hideMark/>
          </w:tcPr>
          <w:p w14:paraId="13808897" w14:textId="77777777" w:rsidR="000A6E4B" w:rsidRDefault="000A6E4B" w:rsidP="000A6E4B">
            <w:pPr>
              <w:pStyle w:val="TableBlock"/>
              <w:tabs>
                <w:tab w:val="left" w:pos="624"/>
                <w:tab w:val="left" w:pos="1247"/>
              </w:tabs>
            </w:pPr>
            <w:r>
              <w:rPr>
                <w:rtl/>
              </w:rPr>
              <w:t>תקנות ראשונות לפי סעיף 11ב(ב) לחוק העיקרי, כנוסחו בסעיף 2 לחוק זה, יותקנו בתוך שלושה חודשים מיום פרסומו של חוק זה.</w:t>
            </w:r>
          </w:p>
        </w:tc>
      </w:tr>
    </w:tbl>
    <w:p w14:paraId="65C78BDD" w14:textId="77777777" w:rsidR="00BB1B45" w:rsidRDefault="00BB1B45" w:rsidP="00BB1B45">
      <w:pPr>
        <w:pStyle w:val="HeadDivreiHesber"/>
        <w:rPr>
          <w:rtl/>
        </w:rPr>
      </w:pPr>
      <w:r w:rsidRPr="0027450A">
        <w:rPr>
          <w:rFonts w:hint="cs"/>
          <w:rtl/>
        </w:rPr>
        <w:t>דברי הסבר</w:t>
      </w:r>
    </w:p>
    <w:p w14:paraId="334D7F25" w14:textId="4EC52706" w:rsidR="00BB1B45" w:rsidRDefault="00BB1B45" w:rsidP="000A6E4B">
      <w:pPr>
        <w:pStyle w:val="Hesber"/>
        <w:rPr>
          <w:sz w:val="26"/>
          <w:rtl/>
        </w:rPr>
      </w:pPr>
      <w:r w:rsidRPr="00294570">
        <w:rPr>
          <w:snapToGrid/>
          <w:rtl/>
        </w:rPr>
        <w:t xml:space="preserve">מוצע לתקן את סעיף 11 לחוק חינוך ממלכתי, התשי"ג–1953, ולהוסיף לו הוראה בדבר שלילת תקצוב ממוסדות חינוך מוכרים לא רשמיים אשר השר </w:t>
      </w:r>
      <w:r w:rsidR="000A6E4B" w:rsidRPr="00294570">
        <w:rPr>
          <w:snapToGrid/>
          <w:rtl/>
        </w:rPr>
        <w:t xml:space="preserve">נוכח </w:t>
      </w:r>
      <w:r w:rsidRPr="00294570">
        <w:rPr>
          <w:snapToGrid/>
          <w:rtl/>
        </w:rPr>
        <w:t>כי מתקיימת בהם הפליה. שלילת התקצוב ממוסדות כאמור ת</w:t>
      </w:r>
      <w:r w:rsidR="000A6E4B">
        <w:rPr>
          <w:rFonts w:hint="cs"/>
          <w:snapToGrid/>
          <w:rtl/>
        </w:rPr>
        <w:t>י</w:t>
      </w:r>
      <w:r w:rsidRPr="00294570">
        <w:rPr>
          <w:snapToGrid/>
          <w:rtl/>
        </w:rPr>
        <w:t>עשה לאחר מתן התראה</w:t>
      </w:r>
      <w:r>
        <w:rPr>
          <w:rFonts w:hint="cs"/>
          <w:snapToGrid/>
          <w:rtl/>
        </w:rPr>
        <w:t>.</w:t>
      </w:r>
    </w:p>
    <w:p w14:paraId="3F136A76" w14:textId="77777777" w:rsidR="00BB1B45" w:rsidRPr="00294570" w:rsidRDefault="00BB1B45" w:rsidP="00BB1B45">
      <w:pPr>
        <w:pStyle w:val="Hesber"/>
        <w:rPr>
          <w:rtl/>
        </w:rPr>
      </w:pPr>
      <w:r w:rsidRPr="00294570">
        <w:rPr>
          <w:rtl/>
        </w:rPr>
        <w:t>בסעיף 11א לחוק נקבעה הוראה בדבר השתתפות רשות מקומית בתקציבי מוסדות חינוך מוכרים לא רשמיים. מוצע כי רשויות החינוך המקומיות יקבעו אזורי רישום למוסדות חינוך מוכרים לא רשמיים על יסודיים, שנמצאים בשטחן של אותן רשויות מקומיות, בדומה לאזורי הרישום הנהוגים בבתי הספר היסודיים הרשמיים. זאת, על מנת לפזר או לווסת את רישום התלמידים באותם מוסדות חינוך, על פי אזורי הרישום שייקבעו להם על ידי הרשות, ועל מנת למנוע מחסור במקומות לימוד לתלמידים מאותה רשות מקומית במוסדות חינוך מוכרים לא רשמיים על יסודיים באותה הרשות.</w:t>
      </w:r>
    </w:p>
    <w:p w14:paraId="66E7F74C" w14:textId="0D5792BA" w:rsidR="00BB1B45" w:rsidRDefault="00BB1B45" w:rsidP="000A6E4B">
      <w:pPr>
        <w:snapToGrid w:val="0"/>
        <w:spacing w:before="0" w:line="360" w:lineRule="auto"/>
        <w:rPr>
          <w:rFonts w:ascii="Arial" w:eastAsia="Arial Unicode MS" w:hAnsi="Arial" w:cs="David"/>
          <w:spacing w:val="0"/>
          <w:sz w:val="20"/>
          <w:szCs w:val="26"/>
          <w:rtl/>
        </w:rPr>
      </w:pPr>
      <w:r w:rsidRPr="00294570">
        <w:rPr>
          <w:rFonts w:ascii="Arial" w:eastAsia="Arial Unicode MS" w:hAnsi="Arial" w:cs="David"/>
          <w:spacing w:val="0"/>
          <w:sz w:val="20"/>
          <w:szCs w:val="26"/>
          <w:rtl/>
        </w:rPr>
        <w:t>הצע</w:t>
      </w:r>
      <w:r>
        <w:rPr>
          <w:rFonts w:ascii="Arial" w:eastAsia="Arial Unicode MS" w:hAnsi="Arial" w:cs="David" w:hint="cs"/>
          <w:spacing w:val="0"/>
          <w:sz w:val="20"/>
          <w:szCs w:val="26"/>
          <w:rtl/>
        </w:rPr>
        <w:t>ו</w:t>
      </w:r>
      <w:r w:rsidRPr="00294570">
        <w:rPr>
          <w:rFonts w:ascii="Arial" w:eastAsia="Arial Unicode MS" w:hAnsi="Arial" w:cs="David"/>
          <w:spacing w:val="0"/>
          <w:sz w:val="20"/>
          <w:szCs w:val="26"/>
          <w:rtl/>
        </w:rPr>
        <w:t xml:space="preserve">ת חוק </w:t>
      </w:r>
      <w:r>
        <w:rPr>
          <w:rFonts w:ascii="Arial" w:eastAsia="Arial Unicode MS" w:hAnsi="Arial" w:cs="David" w:hint="cs"/>
          <w:spacing w:val="0"/>
          <w:sz w:val="20"/>
          <w:szCs w:val="26"/>
          <w:rtl/>
        </w:rPr>
        <w:t>זהות</w:t>
      </w:r>
      <w:r w:rsidRPr="00294570">
        <w:rPr>
          <w:rFonts w:ascii="Arial" w:eastAsia="Arial Unicode MS" w:hAnsi="Arial" w:cs="David"/>
          <w:spacing w:val="0"/>
          <w:sz w:val="20"/>
          <w:szCs w:val="26"/>
          <w:rtl/>
        </w:rPr>
        <w:t xml:space="preserve"> הונח</w:t>
      </w:r>
      <w:r>
        <w:rPr>
          <w:rFonts w:ascii="Arial" w:eastAsia="Arial Unicode MS" w:hAnsi="Arial" w:cs="David" w:hint="cs"/>
          <w:spacing w:val="0"/>
          <w:sz w:val="20"/>
          <w:szCs w:val="26"/>
          <w:rtl/>
        </w:rPr>
        <w:t>ו</w:t>
      </w:r>
      <w:r w:rsidRPr="00294570">
        <w:rPr>
          <w:rFonts w:ascii="Arial" w:eastAsia="Arial Unicode MS" w:hAnsi="Arial" w:cs="David"/>
          <w:spacing w:val="0"/>
          <w:sz w:val="20"/>
          <w:szCs w:val="26"/>
          <w:rtl/>
        </w:rPr>
        <w:t xml:space="preserve"> על שולחן הכנסת </w:t>
      </w:r>
      <w:r>
        <w:rPr>
          <w:rFonts w:ascii="Arial" w:eastAsia="Arial Unicode MS" w:hAnsi="Arial" w:cs="David" w:hint="cs"/>
          <w:spacing w:val="0"/>
          <w:sz w:val="20"/>
          <w:szCs w:val="26"/>
          <w:rtl/>
        </w:rPr>
        <w:t>השמונה-עשרה</w:t>
      </w:r>
      <w:r w:rsidRPr="00294570">
        <w:rPr>
          <w:rFonts w:ascii="Arial" w:eastAsia="Arial Unicode MS" w:hAnsi="Arial" w:cs="David"/>
          <w:spacing w:val="0"/>
          <w:sz w:val="20"/>
          <w:szCs w:val="26"/>
          <w:rtl/>
        </w:rPr>
        <w:t xml:space="preserve"> על ידי חבר הכנסת אברהם מיכאלי (פ/</w:t>
      </w:r>
      <w:r>
        <w:rPr>
          <w:rFonts w:ascii="Arial" w:eastAsia="Arial Unicode MS" w:hAnsi="Arial" w:cs="David" w:hint="cs"/>
          <w:spacing w:val="0"/>
          <w:sz w:val="20"/>
          <w:szCs w:val="26"/>
          <w:rtl/>
        </w:rPr>
        <w:t>1828/</w:t>
      </w:r>
      <w:r w:rsidR="000A6E4B">
        <w:rPr>
          <w:rFonts w:ascii="Arial" w:eastAsia="Arial Unicode MS" w:hAnsi="Arial" w:cs="David" w:hint="cs"/>
          <w:spacing w:val="0"/>
          <w:sz w:val="20"/>
          <w:szCs w:val="26"/>
          <w:rtl/>
        </w:rPr>
        <w:t>18</w:t>
      </w:r>
      <w:r w:rsidRPr="00294570">
        <w:rPr>
          <w:rFonts w:ascii="Arial" w:eastAsia="Arial Unicode MS" w:hAnsi="Arial" w:cs="David"/>
          <w:spacing w:val="0"/>
          <w:sz w:val="20"/>
          <w:szCs w:val="26"/>
          <w:rtl/>
        </w:rPr>
        <w:t>)</w:t>
      </w:r>
      <w:r>
        <w:rPr>
          <w:rFonts w:ascii="Arial" w:eastAsia="Arial Unicode MS" w:hAnsi="Arial" w:cs="David" w:hint="cs"/>
          <w:spacing w:val="0"/>
          <w:sz w:val="20"/>
          <w:szCs w:val="26"/>
          <w:rtl/>
        </w:rPr>
        <w:t xml:space="preserve"> ועל שולחן הכנסת </w:t>
      </w:r>
      <w:r w:rsidRPr="00E00E1D">
        <w:rPr>
          <w:rFonts w:ascii="Arial" w:eastAsia="Arial Unicode MS" w:hAnsi="Arial" w:cs="David"/>
          <w:spacing w:val="0"/>
          <w:sz w:val="20"/>
          <w:szCs w:val="26"/>
          <w:rtl/>
        </w:rPr>
        <w:t>התשע-עשרה על ידי חבר הכנסת יעקב מרגי (פ/1828/19)</w:t>
      </w:r>
      <w:r>
        <w:rPr>
          <w:rFonts w:ascii="Arial" w:eastAsia="Arial Unicode MS" w:hAnsi="Arial" w:cs="David" w:hint="cs"/>
          <w:spacing w:val="0"/>
          <w:sz w:val="20"/>
          <w:szCs w:val="26"/>
          <w:rtl/>
        </w:rPr>
        <w:t>.</w:t>
      </w:r>
    </w:p>
    <w:p w14:paraId="6327ED95" w14:textId="3B98F66C" w:rsidR="00BB1B45" w:rsidRDefault="00BB1B45" w:rsidP="00BB1B45">
      <w:pPr>
        <w:snapToGrid w:val="0"/>
        <w:spacing w:before="0" w:line="360" w:lineRule="auto"/>
        <w:rPr>
          <w:rtl/>
        </w:rPr>
      </w:pPr>
      <w:r>
        <w:rPr>
          <w:rFonts w:ascii="Arial" w:eastAsia="Arial Unicode MS" w:hAnsi="Arial" w:cs="David" w:hint="cs"/>
          <w:spacing w:val="0"/>
          <w:sz w:val="20"/>
          <w:szCs w:val="26"/>
          <w:rtl/>
        </w:rPr>
        <w:t xml:space="preserve"> הצעת חוק דומה בעיקרה הונחה על שולחן הכנסת העשרים על ידי חבר הכנסת יואב בן צור וקבוצת חברי הכנסת (פ/2080/20)</w:t>
      </w:r>
      <w:r w:rsidRPr="00294570">
        <w:rPr>
          <w:rFonts w:ascii="Arial" w:eastAsia="Arial Unicode MS" w:hAnsi="Arial" w:cs="David"/>
          <w:spacing w:val="0"/>
          <w:sz w:val="20"/>
          <w:szCs w:val="26"/>
          <w:rtl/>
        </w:rPr>
        <w:t>.</w:t>
      </w:r>
      <w:r>
        <w:rPr>
          <w:rtl/>
        </w:rPr>
        <w:t xml:space="preserve"> </w:t>
      </w:r>
    </w:p>
    <w:p w14:paraId="73A49AA5" w14:textId="14DA4179" w:rsidR="000A6E4B" w:rsidRDefault="000A6E4B" w:rsidP="00BB1B45">
      <w:pPr>
        <w:snapToGrid w:val="0"/>
        <w:spacing w:before="0" w:line="360" w:lineRule="auto"/>
        <w:rPr>
          <w:rtl/>
        </w:rPr>
      </w:pPr>
    </w:p>
    <w:p w14:paraId="4A756616" w14:textId="77777777" w:rsidR="000A6E4B" w:rsidRDefault="000A6E4B" w:rsidP="00BB1B45">
      <w:pPr>
        <w:snapToGrid w:val="0"/>
        <w:spacing w:before="0" w:line="360" w:lineRule="auto"/>
        <w:rPr>
          <w:rtl/>
        </w:rPr>
      </w:pPr>
    </w:p>
    <w:p w14:paraId="04CC6FC1" w14:textId="77777777" w:rsidR="000A6E4B" w:rsidRDefault="000A6E4B" w:rsidP="00BB1B45">
      <w:pPr>
        <w:snapToGrid w:val="0"/>
        <w:spacing w:before="0" w:line="360" w:lineRule="auto"/>
        <w:rPr>
          <w:rtl/>
        </w:rPr>
      </w:pPr>
    </w:p>
    <w:p w14:paraId="43655A28" w14:textId="77777777" w:rsidR="000A6E4B" w:rsidRPr="00557D2C" w:rsidRDefault="000A6E4B" w:rsidP="007D273A">
      <w:pPr>
        <w:pStyle w:val="Hesber"/>
        <w:rPr>
          <w:rtl/>
        </w:rPr>
      </w:pPr>
      <w:r w:rsidRPr="00557D2C">
        <w:rPr>
          <w:rtl/>
        </w:rPr>
        <w:t>---------------------------------</w:t>
      </w:r>
    </w:p>
    <w:p w14:paraId="22407D09" w14:textId="77777777" w:rsidR="000A6E4B" w:rsidRPr="00557D2C" w:rsidRDefault="000A6E4B" w:rsidP="007D273A">
      <w:pPr>
        <w:pStyle w:val="Hesber"/>
        <w:rPr>
          <w:rtl/>
        </w:rPr>
      </w:pPr>
      <w:r w:rsidRPr="00557D2C">
        <w:rPr>
          <w:rtl/>
        </w:rPr>
        <w:t>הוגשה ליו"ר הכנסת והסגנים</w:t>
      </w:r>
    </w:p>
    <w:p w14:paraId="1F098735" w14:textId="77777777" w:rsidR="000A6E4B" w:rsidRPr="00557D2C" w:rsidRDefault="000A6E4B" w:rsidP="007D273A">
      <w:pPr>
        <w:pStyle w:val="Hesber"/>
        <w:rPr>
          <w:rtl/>
        </w:rPr>
      </w:pPr>
      <w:r w:rsidRPr="00557D2C">
        <w:rPr>
          <w:rtl/>
        </w:rPr>
        <w:t>והונחה על שולחן הכנסת ביום</w:t>
      </w:r>
    </w:p>
    <w:p w14:paraId="709A7A34" w14:textId="22C7635E" w:rsidR="000A6E4B" w:rsidRDefault="000A6E4B" w:rsidP="000A6E4B">
      <w:pPr>
        <w:pStyle w:val="Hesber"/>
        <w:rPr>
          <w:rtl/>
        </w:rPr>
      </w:pPr>
      <w:r>
        <w:rPr>
          <w:rFonts w:hint="cs"/>
          <w:rtl/>
        </w:rPr>
        <w:t>ט' בטבת התשע"ו</w:t>
      </w:r>
      <w:r w:rsidRPr="00557D2C">
        <w:rPr>
          <w:rFonts w:hint="cs"/>
          <w:rtl/>
        </w:rPr>
        <w:t xml:space="preserve"> </w:t>
      </w:r>
      <w:r w:rsidRPr="00557D2C">
        <w:rPr>
          <w:rtl/>
        </w:rPr>
        <w:t>–</w:t>
      </w:r>
      <w:r>
        <w:rPr>
          <w:rFonts w:hint="cs"/>
          <w:rtl/>
        </w:rPr>
        <w:t xml:space="preserve"> 21.12.15</w:t>
      </w:r>
      <w:bookmarkStart w:id="8" w:name="_GoBack"/>
      <w:bookmarkEnd w:id="8"/>
    </w:p>
    <w:p w14:paraId="0DD25C67" w14:textId="77777777" w:rsidR="00BB1B45" w:rsidRDefault="00BB1B45" w:rsidP="00BB1B45">
      <w:pPr>
        <w:pStyle w:val="Hesber"/>
        <w:rPr>
          <w:rtl/>
        </w:rPr>
      </w:pPr>
    </w:p>
    <w:p w14:paraId="65263646" w14:textId="1AC86C1B" w:rsidR="00B03283" w:rsidRPr="00BB1B45" w:rsidRDefault="00B03283" w:rsidP="00BB1B45">
      <w:pPr>
        <w:rPr>
          <w:rtl/>
        </w:rPr>
      </w:pPr>
    </w:p>
    <w:sectPr w:rsidR="00B03283" w:rsidRPr="00BB1B4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B2FA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5A2F84C7" w14:textId="77777777" w:rsidR="00BB1B45" w:rsidRDefault="00BB1B45" w:rsidP="00BB1B45">
      <w:pPr>
        <w:pStyle w:val="a4"/>
      </w:pPr>
      <w:r>
        <w:rPr>
          <w:rStyle w:val="a6"/>
        </w:rPr>
        <w:footnoteRef/>
      </w:r>
      <w:r>
        <w:rPr>
          <w:rtl/>
        </w:rPr>
        <w:t xml:space="preserve"> ס"ח התשי"ג, עמ' 137.</w:t>
      </w:r>
    </w:p>
  </w:footnote>
  <w:footnote w:id="3">
    <w:p w14:paraId="6C05AA52" w14:textId="77777777" w:rsidR="00BB1B45" w:rsidRDefault="00BB1B45" w:rsidP="00BB1B45">
      <w:pPr>
        <w:pStyle w:val="a4"/>
      </w:pPr>
      <w:r>
        <w:rPr>
          <w:rStyle w:val="a6"/>
        </w:rPr>
        <w:footnoteRef/>
      </w:r>
      <w:r>
        <w:rPr>
          <w:rtl/>
        </w:rPr>
        <w:t xml:space="preserve"> ס"ח התשס"א, עמ'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B477D"/>
    <w:multiLevelType w:val="hybridMultilevel"/>
    <w:tmpl w:val="8BF24ED2"/>
    <w:lvl w:ilvl="0" w:tplc="6FF0BF3A">
      <w:start w:val="1"/>
      <w:numFmt w:val="hebrew1"/>
      <w:lvlText w:val="(%1)"/>
      <w:lvlJc w:val="left"/>
      <w:pPr>
        <w:tabs>
          <w:tab w:val="num" w:pos="624"/>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A6E4B"/>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4570"/>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2FA9"/>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3283"/>
    <w:rsid w:val="00B10265"/>
    <w:rsid w:val="00B16A99"/>
    <w:rsid w:val="00B21211"/>
    <w:rsid w:val="00B35784"/>
    <w:rsid w:val="00B733A7"/>
    <w:rsid w:val="00B75C91"/>
    <w:rsid w:val="00B8610E"/>
    <w:rsid w:val="00B975AD"/>
    <w:rsid w:val="00BB1B45"/>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C2BF6"/>
    <w:rsid w:val="00ED4A6F"/>
    <w:rsid w:val="00EF3A3A"/>
    <w:rsid w:val="00F56D94"/>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464427C-29D2-4410-B577-6E90E35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4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0A6E4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0A6E4B"/>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A6E4B"/>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A6E4B"/>
    <w:rPr>
      <w:sz w:val="36"/>
      <w:szCs w:val="52"/>
    </w:rPr>
  </w:style>
  <w:style w:type="paragraph" w:customStyle="1" w:styleId="Cover3-Haknesset">
    <w:name w:val="Cover 3-Haknesset"/>
    <w:basedOn w:val="Cover1-Reshumot"/>
    <w:rsid w:val="000A6E4B"/>
    <w:rPr>
      <w:b/>
      <w:bCs/>
      <w:spacing w:val="60"/>
    </w:rPr>
  </w:style>
  <w:style w:type="paragraph" w:customStyle="1" w:styleId="Cover4-Date">
    <w:name w:val="Cover 4-Date"/>
    <w:basedOn w:val="a"/>
    <w:rsid w:val="000A6E4B"/>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A6E4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A6E4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0A6E4B"/>
    <w:pPr>
      <w:spacing w:before="120" w:after="120"/>
    </w:pPr>
    <w:rPr>
      <w:color w:val="FF0000"/>
      <w:w w:val="80"/>
    </w:rPr>
  </w:style>
  <w:style w:type="paragraph" w:styleId="a3">
    <w:name w:val="endnote text"/>
    <w:basedOn w:val="a"/>
    <w:semiHidden/>
    <w:rsid w:val="000A6E4B"/>
    <w:pPr>
      <w:ind w:left="227" w:hanging="227"/>
    </w:pPr>
    <w:rPr>
      <w:sz w:val="14"/>
      <w:szCs w:val="22"/>
    </w:rPr>
  </w:style>
  <w:style w:type="paragraph" w:customStyle="1" w:styleId="TableText">
    <w:name w:val="Table Text"/>
    <w:basedOn w:val="a"/>
    <w:rsid w:val="000A6E4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A6E4B"/>
  </w:style>
  <w:style w:type="paragraph" w:customStyle="1" w:styleId="TableBlock">
    <w:name w:val="Table Block"/>
    <w:basedOn w:val="TableText"/>
    <w:rsid w:val="000A6E4B"/>
    <w:pPr>
      <w:ind w:right="0"/>
      <w:jc w:val="both"/>
    </w:pPr>
  </w:style>
  <w:style w:type="paragraph" w:customStyle="1" w:styleId="TableHead">
    <w:name w:val="Table Head"/>
    <w:basedOn w:val="TableText"/>
    <w:rsid w:val="000A6E4B"/>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A6E4B"/>
  </w:style>
  <w:style w:type="paragraph" w:customStyle="1" w:styleId="Hesber">
    <w:name w:val="Hesber"/>
    <w:basedOn w:val="a"/>
    <w:rsid w:val="000A6E4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0A6E4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0A6E4B"/>
    <w:rPr>
      <w:vertAlign w:val="superscript"/>
    </w:rPr>
  </w:style>
  <w:style w:type="paragraph" w:customStyle="1" w:styleId="HesberHeading">
    <w:name w:val="Hesber Heading"/>
    <w:basedOn w:val="Hesber"/>
    <w:rsid w:val="000A6E4B"/>
    <w:pPr>
      <w:tabs>
        <w:tab w:val="left" w:pos="624"/>
        <w:tab w:val="left" w:pos="1247"/>
      </w:tabs>
      <w:ind w:firstLine="0"/>
    </w:pPr>
    <w:rPr>
      <w:b/>
      <w:bCs/>
    </w:rPr>
  </w:style>
  <w:style w:type="paragraph" w:customStyle="1" w:styleId="HesberWriters">
    <w:name w:val="Hesber Writers"/>
    <w:basedOn w:val="Hesber"/>
    <w:rsid w:val="000A6E4B"/>
    <w:pPr>
      <w:spacing w:before="120" w:after="6000"/>
      <w:ind w:left="1418" w:firstLine="0"/>
      <w:jc w:val="right"/>
    </w:pPr>
    <w:rPr>
      <w:b/>
      <w:bCs/>
    </w:rPr>
  </w:style>
  <w:style w:type="paragraph" w:customStyle="1" w:styleId="Hesber1st">
    <w:name w:val="Hesber 1st"/>
    <w:basedOn w:val="Hesber"/>
    <w:rsid w:val="000A6E4B"/>
    <w:pPr>
      <w:tabs>
        <w:tab w:val="left" w:pos="680"/>
        <w:tab w:val="left" w:pos="1020"/>
      </w:tabs>
      <w:ind w:firstLine="0"/>
    </w:pPr>
  </w:style>
  <w:style w:type="character" w:styleId="a7">
    <w:name w:val="endnote reference"/>
    <w:basedOn w:val="a0"/>
    <w:semiHidden/>
    <w:rsid w:val="000A6E4B"/>
    <w:rPr>
      <w:vertAlign w:val="superscript"/>
    </w:rPr>
  </w:style>
  <w:style w:type="paragraph" w:customStyle="1" w:styleId="TableBlockOutdent">
    <w:name w:val="Table BlockOutdent"/>
    <w:basedOn w:val="TableBlock"/>
    <w:rsid w:val="000A6E4B"/>
    <w:pPr>
      <w:ind w:left="624" w:hanging="624"/>
    </w:pPr>
  </w:style>
  <w:style w:type="paragraph" w:styleId="a8">
    <w:name w:val="header"/>
    <w:basedOn w:val="a"/>
    <w:rsid w:val="000A6E4B"/>
    <w:pPr>
      <w:tabs>
        <w:tab w:val="center" w:pos="4153"/>
        <w:tab w:val="right" w:pos="8306"/>
      </w:tabs>
    </w:pPr>
  </w:style>
  <w:style w:type="paragraph" w:styleId="a9">
    <w:name w:val="footer"/>
    <w:basedOn w:val="a"/>
    <w:rsid w:val="000A6E4B"/>
    <w:pPr>
      <w:tabs>
        <w:tab w:val="center" w:pos="4153"/>
        <w:tab w:val="right" w:pos="8306"/>
      </w:tabs>
    </w:pPr>
  </w:style>
  <w:style w:type="paragraph" w:customStyle="1" w:styleId="HeadDivreiHesber">
    <w:name w:val="Head DivreiHesber"/>
    <w:basedOn w:val="a"/>
    <w:rsid w:val="000A6E4B"/>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0A6E4B"/>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0A6E4B"/>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F56D9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357B-230D-44F8-B961-33DF1308A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784F0DEA-F2BE-43BB-A5B6-0EFA139A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1975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2015-11-02T16:48:00Z</cp:lastPrinted>
  <dcterms:created xsi:type="dcterms:W3CDTF">2015-04-20T09:58:00Z</dcterms:created>
  <dcterms:modified xsi:type="dcterms:W3CDTF">2015-12-16T09:50:00Z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570833</vt:r8>
  </property>
</Properties>
</file>